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D2E" w:rsidRDefault="00144B75" w:rsidP="007E2D2E">
      <w:pPr>
        <w:shd w:val="clear" w:color="auto" w:fill="FFFFFF"/>
        <w:spacing w:before="120" w:after="120" w:line="240" w:lineRule="auto"/>
        <w:jc w:val="center"/>
        <w:rPr>
          <w:rFonts w:cstheme="minorHAnsi"/>
          <w:b/>
          <w:sz w:val="32"/>
          <w:szCs w:val="32"/>
          <w:u w:val="single"/>
          <w:shd w:val="clear" w:color="auto" w:fill="FFFFFF"/>
        </w:rPr>
      </w:pPr>
      <w:r w:rsidRPr="00382EC6">
        <w:rPr>
          <w:rFonts w:cstheme="minorHAnsi"/>
          <w:b/>
          <w:sz w:val="32"/>
          <w:szCs w:val="32"/>
          <w:u w:val="single"/>
          <w:shd w:val="clear" w:color="auto" w:fill="FFFFFF"/>
        </w:rPr>
        <w:t>VI Scheda I principali Documenti di dialogo</w:t>
      </w:r>
    </w:p>
    <w:p w:rsidR="00615C69" w:rsidRPr="004F2561" w:rsidRDefault="007E2D2E" w:rsidP="007E2D2E">
      <w:pPr>
        <w:shd w:val="clear" w:color="auto" w:fill="FFFFFF"/>
        <w:spacing w:before="120" w:after="120" w:line="240" w:lineRule="auto"/>
        <w:jc w:val="center"/>
        <w:rPr>
          <w:rFonts w:cstheme="minorHAnsi"/>
          <w:sz w:val="32"/>
          <w:szCs w:val="32"/>
          <w:u w:val="single"/>
          <w:shd w:val="clear" w:color="auto" w:fill="FFFFFF"/>
        </w:rPr>
      </w:pPr>
      <w:r w:rsidRPr="004F2561">
        <w:rPr>
          <w:rFonts w:cstheme="minorHAnsi"/>
          <w:sz w:val="32"/>
          <w:szCs w:val="32"/>
        </w:rPr>
        <w:t>(</w:t>
      </w:r>
      <w:r w:rsidR="00615C69" w:rsidRPr="004F2561">
        <w:rPr>
          <w:rFonts w:cstheme="minorHAnsi"/>
          <w:sz w:val="32"/>
          <w:szCs w:val="32"/>
        </w:rPr>
        <w:t>sr Maria Grazia Pennisi EF)</w:t>
      </w:r>
    </w:p>
    <w:p w:rsidR="00144B75" w:rsidRPr="00382EC6" w:rsidRDefault="00144B75" w:rsidP="00144B75">
      <w:pPr>
        <w:shd w:val="clear" w:color="auto" w:fill="FFFFFF"/>
        <w:spacing w:before="120" w:after="120" w:line="240" w:lineRule="auto"/>
        <w:jc w:val="both"/>
        <w:rPr>
          <w:rFonts w:cstheme="minorHAnsi"/>
          <w:b/>
          <w:sz w:val="32"/>
          <w:szCs w:val="32"/>
          <w:shd w:val="clear" w:color="auto" w:fill="FFFFFF"/>
        </w:rPr>
      </w:pPr>
    </w:p>
    <w:p w:rsidR="00144B75" w:rsidRPr="00382EC6" w:rsidRDefault="00144B75" w:rsidP="00144B75">
      <w:pPr>
        <w:shd w:val="clear" w:color="auto" w:fill="FFFFFF"/>
        <w:spacing w:before="120" w:after="120" w:line="240" w:lineRule="auto"/>
        <w:jc w:val="both"/>
        <w:rPr>
          <w:rFonts w:cstheme="minorHAnsi"/>
          <w:b/>
          <w:sz w:val="32"/>
          <w:szCs w:val="32"/>
          <w:shd w:val="clear" w:color="auto" w:fill="FFFFFF"/>
        </w:rPr>
      </w:pPr>
    </w:p>
    <w:p w:rsidR="00174687" w:rsidRPr="008B18AC" w:rsidRDefault="00144B75" w:rsidP="00144B75">
      <w:pPr>
        <w:shd w:val="clear" w:color="auto" w:fill="FFFFFF"/>
        <w:spacing w:before="120" w:after="120" w:line="240" w:lineRule="auto"/>
        <w:ind w:firstLine="708"/>
        <w:jc w:val="both"/>
        <w:rPr>
          <w:rFonts w:eastAsia="Times New Roman" w:cstheme="minorHAnsi"/>
          <w:sz w:val="32"/>
          <w:szCs w:val="32"/>
          <w:lang w:eastAsia="it-IT"/>
        </w:rPr>
      </w:pPr>
      <w:r w:rsidRPr="008B18AC">
        <w:rPr>
          <w:rFonts w:eastAsia="Times New Roman" w:cstheme="minorHAnsi"/>
          <w:sz w:val="32"/>
          <w:szCs w:val="32"/>
          <w:lang w:eastAsia="it-IT"/>
        </w:rPr>
        <w:t xml:space="preserve">Enorme è la quantità di documenti prodotti dai Dialoghi; ne ricordiamo solo alcuni che hanno tracciato maggiormente il cammino dopo di loro. Li accenniamo brevemente </w:t>
      </w:r>
      <w:r w:rsidR="007D24D8" w:rsidRPr="008B18AC">
        <w:rPr>
          <w:rFonts w:eastAsia="Times New Roman" w:cstheme="minorHAnsi"/>
          <w:sz w:val="32"/>
          <w:szCs w:val="32"/>
          <w:lang w:eastAsia="it-IT"/>
        </w:rPr>
        <w:t>invitando, se vi è possibile, a gustarli per intero: sono anche testi di preghiera e riflessione!</w:t>
      </w:r>
    </w:p>
    <w:p w:rsidR="007D24D8" w:rsidRPr="007E2D2E" w:rsidRDefault="007D24D8" w:rsidP="00144B75">
      <w:pPr>
        <w:shd w:val="clear" w:color="auto" w:fill="FFFFFF"/>
        <w:spacing w:before="120" w:after="120" w:line="240" w:lineRule="auto"/>
        <w:ind w:firstLine="708"/>
        <w:jc w:val="both"/>
        <w:rPr>
          <w:rFonts w:eastAsia="Times New Roman" w:cstheme="minorHAnsi"/>
          <w:b/>
          <w:sz w:val="48"/>
          <w:szCs w:val="32"/>
          <w:lang w:eastAsia="it-IT"/>
        </w:rPr>
      </w:pPr>
    </w:p>
    <w:p w:rsidR="00F66C6E" w:rsidRPr="00382EC6" w:rsidRDefault="00F66C6E" w:rsidP="00144B75">
      <w:pPr>
        <w:shd w:val="clear" w:color="auto" w:fill="FFFFFF"/>
        <w:spacing w:before="120" w:after="120" w:line="240" w:lineRule="auto"/>
        <w:jc w:val="both"/>
        <w:rPr>
          <w:rFonts w:eastAsia="Times New Roman" w:cstheme="minorHAnsi"/>
          <w:b/>
          <w:sz w:val="32"/>
          <w:szCs w:val="32"/>
          <w:lang w:eastAsia="it-IT"/>
        </w:rPr>
      </w:pPr>
      <w:r w:rsidRPr="00382EC6">
        <w:rPr>
          <w:rFonts w:eastAsia="Times New Roman" w:cstheme="minorHAnsi"/>
          <w:b/>
          <w:sz w:val="32"/>
          <w:szCs w:val="32"/>
          <w:u w:val="single"/>
          <w:lang w:eastAsia="it-IT"/>
        </w:rPr>
        <w:t>L</w:t>
      </w:r>
      <w:r w:rsidR="00144B75" w:rsidRPr="00382EC6">
        <w:rPr>
          <w:rFonts w:eastAsia="Times New Roman" w:cstheme="minorHAnsi"/>
          <w:b/>
          <w:sz w:val="32"/>
          <w:szCs w:val="32"/>
          <w:u w:val="single"/>
          <w:lang w:eastAsia="it-IT"/>
        </w:rPr>
        <w:t>a </w:t>
      </w:r>
      <w:hyperlink r:id="rId8" w:tooltip="Concordia di Leuenberg" w:history="1">
        <w:r w:rsidR="00144B75" w:rsidRPr="00382EC6">
          <w:rPr>
            <w:rFonts w:eastAsia="Times New Roman" w:cstheme="minorHAnsi"/>
            <w:b/>
            <w:sz w:val="32"/>
            <w:szCs w:val="32"/>
            <w:u w:val="single"/>
            <w:lang w:eastAsia="it-IT"/>
          </w:rPr>
          <w:t>Concordia di Leuemberg</w:t>
        </w:r>
      </w:hyperlink>
    </w:p>
    <w:p w:rsidR="00144B75" w:rsidRPr="008B18AC" w:rsidRDefault="00F66C6E" w:rsidP="00174687">
      <w:pPr>
        <w:shd w:val="clear" w:color="auto" w:fill="FFFFFF"/>
        <w:spacing w:before="120" w:after="120" w:line="240" w:lineRule="auto"/>
        <w:ind w:firstLine="708"/>
        <w:jc w:val="both"/>
        <w:rPr>
          <w:rFonts w:eastAsia="Times New Roman" w:cstheme="minorHAnsi"/>
          <w:sz w:val="32"/>
          <w:szCs w:val="32"/>
          <w:lang w:eastAsia="it-IT"/>
        </w:rPr>
      </w:pPr>
      <w:r w:rsidRPr="008B18AC">
        <w:rPr>
          <w:rFonts w:eastAsia="Times New Roman" w:cstheme="minorHAnsi"/>
          <w:sz w:val="32"/>
          <w:szCs w:val="32"/>
          <w:lang w:eastAsia="it-IT"/>
        </w:rPr>
        <w:t>La </w:t>
      </w:r>
      <w:hyperlink r:id="rId9" w:tooltip="Concordia di Leuenberg" w:history="1">
        <w:r w:rsidRPr="008B18AC">
          <w:rPr>
            <w:rFonts w:eastAsia="Times New Roman" w:cstheme="minorHAnsi"/>
            <w:sz w:val="32"/>
            <w:szCs w:val="32"/>
            <w:lang w:eastAsia="it-IT"/>
          </w:rPr>
          <w:t>Concordia di Leuemberg</w:t>
        </w:r>
      </w:hyperlink>
      <w:r w:rsidR="004F2561">
        <w:rPr>
          <w:rFonts w:cstheme="minorHAnsi"/>
          <w:sz w:val="32"/>
          <w:szCs w:val="32"/>
        </w:rPr>
        <w:t xml:space="preserve"> è</w:t>
      </w:r>
      <w:r w:rsidR="00144B75" w:rsidRPr="008B18AC">
        <w:rPr>
          <w:rFonts w:cstheme="minorHAnsi"/>
          <w:sz w:val="32"/>
          <w:szCs w:val="32"/>
        </w:rPr>
        <w:t xml:space="preserve"> un accordo sancito in più tappe </w:t>
      </w:r>
      <w:r w:rsidRPr="008B18AC">
        <w:rPr>
          <w:rFonts w:cstheme="minorHAnsi"/>
          <w:sz w:val="32"/>
          <w:szCs w:val="32"/>
        </w:rPr>
        <w:t xml:space="preserve">(una prima fase nel </w:t>
      </w:r>
      <w:r w:rsidRPr="008B18AC">
        <w:rPr>
          <w:rFonts w:eastAsia="Times New Roman" w:cstheme="minorHAnsi"/>
          <w:sz w:val="32"/>
          <w:szCs w:val="32"/>
          <w:lang w:eastAsia="it-IT"/>
        </w:rPr>
        <w:t xml:space="preserve">1973 ed una seconda, con un maggior numero di Chiese che lo hanno sottoscritto nel 1984) </w:t>
      </w:r>
      <w:r w:rsidR="00144B75" w:rsidRPr="008B18AC">
        <w:rPr>
          <w:rFonts w:cstheme="minorHAnsi"/>
          <w:sz w:val="32"/>
          <w:szCs w:val="32"/>
        </w:rPr>
        <w:t>all’interno del mondo protestante</w:t>
      </w:r>
      <w:r w:rsidR="004F2561">
        <w:rPr>
          <w:rFonts w:cstheme="minorHAnsi"/>
          <w:sz w:val="32"/>
          <w:szCs w:val="32"/>
        </w:rPr>
        <w:t xml:space="preserve"> </w:t>
      </w:r>
      <w:r w:rsidR="00174687" w:rsidRPr="008B18AC">
        <w:rPr>
          <w:rFonts w:eastAsia="Times New Roman" w:cstheme="minorHAnsi"/>
          <w:sz w:val="32"/>
          <w:szCs w:val="32"/>
          <w:lang w:eastAsia="it-IT"/>
        </w:rPr>
        <w:t>(KEK)</w:t>
      </w:r>
      <w:r w:rsidR="00144B75" w:rsidRPr="008B18AC">
        <w:rPr>
          <w:rFonts w:cstheme="minorHAnsi"/>
          <w:sz w:val="32"/>
          <w:szCs w:val="32"/>
        </w:rPr>
        <w:t xml:space="preserve"> ma è molto importante per noi per comprendere la concezione che i nostri fratelli protestanti hanno della Santa Cena. Ai n. 15-16, 18-19</w:t>
      </w:r>
      <w:r w:rsidR="007D24D8" w:rsidRPr="008B18AC">
        <w:rPr>
          <w:rStyle w:val="Rimandonotaapidipagina"/>
          <w:rFonts w:cstheme="minorHAnsi"/>
          <w:sz w:val="32"/>
          <w:szCs w:val="32"/>
        </w:rPr>
        <w:footnoteReference w:id="2"/>
      </w:r>
      <w:r w:rsidR="00144B75" w:rsidRPr="008B18AC">
        <w:rPr>
          <w:rFonts w:cstheme="minorHAnsi"/>
          <w:sz w:val="32"/>
          <w:szCs w:val="32"/>
        </w:rPr>
        <w:t>, infatti, si specifica: “</w:t>
      </w:r>
      <w:r w:rsidR="00144B75" w:rsidRPr="008B18AC">
        <w:rPr>
          <w:rFonts w:cstheme="minorHAnsi"/>
          <w:i/>
          <w:sz w:val="32"/>
          <w:szCs w:val="32"/>
        </w:rPr>
        <w:t>Nella santa cena Gesù Cristo risorto, attraverso la parola della sua promessa, si dona nel suo corpo e nel suo sangue dati per tutti con pane e vino […] Non possiamo separare la comunione con Gesù Cristo nel suo corpo e nel suo sangue dall'atto di mangiare e bere. Un interesse circa il modo in cui Cristo è presente nella santa cena, che prescinda da questo atto, corre il rischio di offuscare il senso della</w:t>
      </w:r>
      <w:r w:rsidR="00144B75" w:rsidRPr="008B18AC">
        <w:rPr>
          <w:rFonts w:cstheme="minorHAnsi"/>
          <w:sz w:val="32"/>
          <w:szCs w:val="32"/>
        </w:rPr>
        <w:t xml:space="preserve"> Cena”.</w:t>
      </w:r>
    </w:p>
    <w:p w:rsidR="00144B75" w:rsidRPr="008B18AC" w:rsidRDefault="00144B75" w:rsidP="00174687">
      <w:pPr>
        <w:shd w:val="clear" w:color="auto" w:fill="FFFFFF"/>
        <w:spacing w:before="120" w:after="120" w:line="240" w:lineRule="auto"/>
        <w:ind w:firstLine="708"/>
        <w:jc w:val="both"/>
        <w:rPr>
          <w:rFonts w:cstheme="minorHAnsi"/>
          <w:i/>
          <w:sz w:val="32"/>
          <w:szCs w:val="32"/>
        </w:rPr>
      </w:pPr>
      <w:r w:rsidRPr="008B18AC">
        <w:rPr>
          <w:rFonts w:cstheme="minorHAnsi"/>
          <w:sz w:val="32"/>
          <w:szCs w:val="32"/>
        </w:rPr>
        <w:t xml:space="preserve">Senza dubbio, in mancanza del ministro consacrante regolarmente ordinato in successione apostolica, noi cattolici (come del resto gli ortodossi) non possiamo riconoscere in quel pane e vino la presenza reale di Cristo, ma ciò non deve impedire il rispetto per la fede altrui, secondo differenti modalità a seconda di quale comunità ecclesiale si tratti. Nell’esprimerci, quindi, è più opportuno parlare di </w:t>
      </w:r>
      <w:r w:rsidRPr="008B18AC">
        <w:rPr>
          <w:rFonts w:cstheme="minorHAnsi"/>
          <w:i/>
          <w:sz w:val="32"/>
          <w:szCs w:val="32"/>
        </w:rPr>
        <w:t>Presenza da loro riconosciuta come reale</w:t>
      </w:r>
      <w:r w:rsidR="007D24D8" w:rsidRPr="008B18AC">
        <w:rPr>
          <w:rFonts w:cstheme="minorHAnsi"/>
          <w:i/>
          <w:sz w:val="32"/>
          <w:szCs w:val="32"/>
        </w:rPr>
        <w:t>,</w:t>
      </w:r>
      <w:r w:rsidR="007D24D8" w:rsidRPr="008B18AC">
        <w:rPr>
          <w:rFonts w:cstheme="minorHAnsi"/>
          <w:sz w:val="32"/>
          <w:szCs w:val="32"/>
        </w:rPr>
        <w:t xml:space="preserve"> piuttosto che di </w:t>
      </w:r>
      <w:r w:rsidR="007D24D8" w:rsidRPr="008B18AC">
        <w:rPr>
          <w:rFonts w:cstheme="minorHAnsi"/>
          <w:i/>
          <w:sz w:val="32"/>
          <w:szCs w:val="32"/>
        </w:rPr>
        <w:t xml:space="preserve">presenza </w:t>
      </w:r>
      <w:r w:rsidR="004F2561">
        <w:rPr>
          <w:rFonts w:cstheme="minorHAnsi"/>
          <w:i/>
          <w:sz w:val="32"/>
          <w:szCs w:val="32"/>
        </w:rPr>
        <w:t xml:space="preserve">puramente </w:t>
      </w:r>
      <w:r w:rsidR="007D24D8" w:rsidRPr="008B18AC">
        <w:rPr>
          <w:rFonts w:cstheme="minorHAnsi"/>
          <w:i/>
          <w:sz w:val="32"/>
          <w:szCs w:val="32"/>
        </w:rPr>
        <w:t>simbolica.</w:t>
      </w:r>
    </w:p>
    <w:p w:rsidR="00174687" w:rsidRDefault="00174687" w:rsidP="00174687">
      <w:pPr>
        <w:shd w:val="clear" w:color="auto" w:fill="FFFFFF"/>
        <w:spacing w:before="120" w:after="120" w:line="240" w:lineRule="auto"/>
        <w:ind w:firstLine="708"/>
        <w:jc w:val="both"/>
        <w:rPr>
          <w:rFonts w:cstheme="minorHAnsi"/>
          <w:b/>
          <w:i/>
          <w:sz w:val="32"/>
          <w:szCs w:val="32"/>
        </w:rPr>
      </w:pPr>
    </w:p>
    <w:p w:rsidR="008B18AC" w:rsidRDefault="008B18AC" w:rsidP="00174687">
      <w:pPr>
        <w:shd w:val="clear" w:color="auto" w:fill="FFFFFF"/>
        <w:spacing w:before="120" w:after="120" w:line="240" w:lineRule="auto"/>
        <w:ind w:firstLine="708"/>
        <w:jc w:val="both"/>
        <w:rPr>
          <w:rFonts w:cstheme="minorHAnsi"/>
          <w:b/>
          <w:i/>
          <w:sz w:val="32"/>
          <w:szCs w:val="32"/>
        </w:rPr>
      </w:pPr>
    </w:p>
    <w:p w:rsidR="00174687" w:rsidRPr="00382EC6" w:rsidRDefault="00174687" w:rsidP="00174687">
      <w:pPr>
        <w:shd w:val="clear" w:color="auto" w:fill="FFFFFF"/>
        <w:spacing w:before="120" w:after="120" w:line="240" w:lineRule="auto"/>
        <w:jc w:val="both"/>
        <w:rPr>
          <w:rFonts w:cstheme="minorHAnsi"/>
          <w:b/>
          <w:i/>
          <w:sz w:val="32"/>
          <w:szCs w:val="32"/>
          <w:u w:val="single"/>
        </w:rPr>
      </w:pPr>
      <w:r w:rsidRPr="00382EC6">
        <w:rPr>
          <w:rFonts w:eastAsia="Times New Roman" w:cstheme="minorHAnsi"/>
          <w:b/>
          <w:sz w:val="32"/>
          <w:szCs w:val="32"/>
          <w:u w:val="single"/>
          <w:lang w:eastAsia="it-IT"/>
        </w:rPr>
        <w:lastRenderedPageBreak/>
        <w:t xml:space="preserve">Il BEM – Battesimo Eucaristia, Ministero  </w:t>
      </w:r>
    </w:p>
    <w:p w:rsidR="00144B75" w:rsidRPr="00382EC6" w:rsidRDefault="00144B75" w:rsidP="00144B75">
      <w:pPr>
        <w:shd w:val="clear" w:color="auto" w:fill="FFFFFF"/>
        <w:spacing w:before="120" w:after="120" w:line="240" w:lineRule="auto"/>
        <w:jc w:val="both"/>
        <w:rPr>
          <w:rFonts w:eastAsia="Times New Roman" w:cstheme="minorHAnsi"/>
          <w:b/>
          <w:sz w:val="32"/>
          <w:szCs w:val="32"/>
          <w:lang w:eastAsia="it-IT"/>
        </w:rPr>
      </w:pPr>
    </w:p>
    <w:p w:rsidR="00144B75" w:rsidRPr="008B18AC" w:rsidRDefault="00174687" w:rsidP="00174687">
      <w:pPr>
        <w:shd w:val="clear" w:color="auto" w:fill="FFFFFF"/>
        <w:spacing w:before="120" w:after="120" w:line="240" w:lineRule="auto"/>
        <w:ind w:firstLine="708"/>
        <w:jc w:val="both"/>
        <w:rPr>
          <w:rFonts w:eastAsia="Times New Roman" w:cstheme="minorHAnsi"/>
          <w:sz w:val="32"/>
          <w:szCs w:val="32"/>
          <w:lang w:eastAsia="it-IT"/>
        </w:rPr>
      </w:pPr>
      <w:r w:rsidRPr="008B18AC">
        <w:rPr>
          <w:rFonts w:eastAsia="Times New Roman" w:cstheme="minorHAnsi"/>
          <w:sz w:val="32"/>
          <w:szCs w:val="32"/>
          <w:lang w:eastAsia="it-IT"/>
        </w:rPr>
        <w:t>I</w:t>
      </w:r>
      <w:r w:rsidR="00144B75" w:rsidRPr="008B18AC">
        <w:rPr>
          <w:rFonts w:eastAsia="Times New Roman" w:cstheme="minorHAnsi"/>
          <w:sz w:val="32"/>
          <w:szCs w:val="32"/>
          <w:lang w:eastAsia="it-IT"/>
        </w:rPr>
        <w:t xml:space="preserve">l BEM – Battesimo Eucaristia, Ministero </w:t>
      </w:r>
      <w:r w:rsidR="007D24D8" w:rsidRPr="008B18AC">
        <w:rPr>
          <w:rFonts w:eastAsia="Times New Roman" w:cstheme="minorHAnsi"/>
          <w:sz w:val="32"/>
          <w:szCs w:val="32"/>
          <w:lang w:eastAsia="it-IT"/>
        </w:rPr>
        <w:t>-</w:t>
      </w:r>
      <w:r w:rsidR="00144B75" w:rsidRPr="008B18AC">
        <w:rPr>
          <w:rFonts w:eastAsia="Times New Roman" w:cstheme="minorHAnsi"/>
          <w:sz w:val="32"/>
          <w:szCs w:val="32"/>
          <w:lang w:eastAsia="it-IT"/>
        </w:rPr>
        <w:t xml:space="preserve"> (Fede e Costituzione - Lima 1982): è frutto di un lavoro capillare ed assiduo della Commissione di Fede e Costituzione affinché le Chiese possano arrivare ad intendersi nella Dottrina sui cardini della loro fede. La Commissione FO ha affrontato tale questione sin dai suoi inizi (1927) ed è giunta a pubblicare questo testo dopo ben 55 anni, nel 1982. Ciò ha segnato una pietra miliare in campo ecumenico, non solo per i contenuti cui si è giunti ma anche per il metodo usato, mettendo in evidenza sia la dottrina condivisa sia – nei riquadri dei “</w:t>
      </w:r>
      <w:r w:rsidR="00144B75" w:rsidRPr="00051C5E">
        <w:rPr>
          <w:rFonts w:eastAsia="Times New Roman" w:cstheme="minorHAnsi"/>
          <w:i/>
          <w:sz w:val="32"/>
          <w:szCs w:val="32"/>
          <w:lang w:eastAsia="it-IT"/>
        </w:rPr>
        <w:t>commenti</w:t>
      </w:r>
      <w:r w:rsidR="00144B75" w:rsidRPr="008B18AC">
        <w:rPr>
          <w:rFonts w:eastAsia="Times New Roman" w:cstheme="minorHAnsi"/>
          <w:sz w:val="32"/>
          <w:szCs w:val="32"/>
          <w:lang w:eastAsia="it-IT"/>
        </w:rPr>
        <w:t xml:space="preserve">” – i dubbi o interrogativi esplicitati da una o più Chiese. </w:t>
      </w:r>
      <w:r w:rsidR="00051C5E" w:rsidRPr="008B18AC">
        <w:rPr>
          <w:rFonts w:eastAsia="Times New Roman" w:cstheme="minorHAnsi"/>
          <w:sz w:val="32"/>
          <w:szCs w:val="32"/>
          <w:lang w:eastAsia="it-IT"/>
        </w:rPr>
        <w:t>Tale Documento non intende essere un testo vincolante ma il suo grande valore è l’essere stato redatto nel rispetto dell’identità di ogni Chiesa e con un ampio coinvolgimento delle comunità, cosa che lo ha dotato di forte autorevolezza.</w:t>
      </w:r>
      <w:r w:rsidR="00051C5E">
        <w:rPr>
          <w:rFonts w:eastAsia="Times New Roman" w:cstheme="minorHAnsi"/>
          <w:sz w:val="32"/>
          <w:szCs w:val="32"/>
          <w:lang w:eastAsia="it-IT"/>
        </w:rPr>
        <w:t xml:space="preserve"> </w:t>
      </w:r>
      <w:r w:rsidR="00144B75" w:rsidRPr="008B18AC">
        <w:rPr>
          <w:rFonts w:eastAsia="Times New Roman" w:cstheme="minorHAnsi"/>
          <w:sz w:val="32"/>
          <w:szCs w:val="32"/>
          <w:lang w:eastAsia="it-IT"/>
        </w:rPr>
        <w:t xml:space="preserve">Uno dei primi risultati concreti è stata la possibilità di una </w:t>
      </w:r>
      <w:r w:rsidR="008B18AC">
        <w:rPr>
          <w:rFonts w:eastAsia="Times New Roman" w:cstheme="minorHAnsi"/>
          <w:sz w:val="32"/>
          <w:szCs w:val="32"/>
          <w:u w:val="single"/>
          <w:lang w:eastAsia="it-IT"/>
        </w:rPr>
        <w:t xml:space="preserve">Liturgia Eucaristica </w:t>
      </w:r>
      <w:r w:rsidR="00144B75" w:rsidRPr="008B18AC">
        <w:rPr>
          <w:rFonts w:eastAsia="Times New Roman" w:cstheme="minorHAnsi"/>
          <w:sz w:val="32"/>
          <w:szCs w:val="32"/>
          <w:u w:val="single"/>
          <w:lang w:eastAsia="it-IT"/>
        </w:rPr>
        <w:t>condivis</w:t>
      </w:r>
      <w:r w:rsidR="00144B75" w:rsidRPr="008B18AC">
        <w:rPr>
          <w:rFonts w:eastAsia="Times New Roman" w:cstheme="minorHAnsi"/>
          <w:sz w:val="32"/>
          <w:szCs w:val="32"/>
          <w:lang w:eastAsia="it-IT"/>
        </w:rPr>
        <w:t xml:space="preserve">a, detta appunto </w:t>
      </w:r>
      <w:r w:rsidR="00144B75" w:rsidRPr="008B18AC">
        <w:rPr>
          <w:rFonts w:eastAsia="Times New Roman" w:cstheme="minorHAnsi"/>
          <w:i/>
          <w:sz w:val="32"/>
          <w:szCs w:val="32"/>
          <w:lang w:eastAsia="it-IT"/>
        </w:rPr>
        <w:t>Liturgia di Lima</w:t>
      </w:r>
      <w:r w:rsidR="008B18AC">
        <w:rPr>
          <w:rFonts w:eastAsia="Times New Roman" w:cstheme="minorHAnsi"/>
          <w:sz w:val="32"/>
          <w:szCs w:val="32"/>
          <w:lang w:eastAsia="it-IT"/>
        </w:rPr>
        <w:t xml:space="preserve">. </w:t>
      </w:r>
    </w:p>
    <w:p w:rsidR="00174687" w:rsidRPr="00382EC6" w:rsidRDefault="00174687" w:rsidP="00144B75">
      <w:pPr>
        <w:shd w:val="clear" w:color="auto" w:fill="FFFFFF"/>
        <w:spacing w:before="120" w:after="120" w:line="240" w:lineRule="auto"/>
        <w:jc w:val="both"/>
        <w:rPr>
          <w:rFonts w:eastAsia="Times New Roman" w:cstheme="minorHAnsi"/>
          <w:b/>
          <w:sz w:val="32"/>
          <w:szCs w:val="32"/>
          <w:lang w:eastAsia="it-IT"/>
        </w:rPr>
      </w:pPr>
    </w:p>
    <w:p w:rsidR="00174687" w:rsidRPr="00382EC6" w:rsidRDefault="00174687" w:rsidP="00144B75">
      <w:pPr>
        <w:shd w:val="clear" w:color="auto" w:fill="FFFFFF"/>
        <w:spacing w:before="120" w:after="120" w:line="240" w:lineRule="auto"/>
        <w:jc w:val="both"/>
        <w:rPr>
          <w:rFonts w:eastAsia="Times New Roman" w:cstheme="minorHAnsi"/>
          <w:b/>
          <w:sz w:val="32"/>
          <w:szCs w:val="32"/>
          <w:lang w:eastAsia="it-IT"/>
        </w:rPr>
      </w:pPr>
      <w:r w:rsidRPr="00382EC6">
        <w:rPr>
          <w:rFonts w:eastAsia="Times New Roman" w:cstheme="minorHAnsi"/>
          <w:b/>
          <w:iCs/>
          <w:sz w:val="32"/>
          <w:szCs w:val="32"/>
          <w:u w:val="single"/>
          <w:lang w:eastAsia="it-IT"/>
        </w:rPr>
        <w:t>La Dichiarazione Congiunta sulla Dottrina della Giustificazione</w:t>
      </w:r>
    </w:p>
    <w:p w:rsidR="00144B75" w:rsidRPr="00382EC6" w:rsidRDefault="00144B75" w:rsidP="00144B75">
      <w:pPr>
        <w:pStyle w:val="Paragrafoelenco"/>
        <w:shd w:val="clear" w:color="auto" w:fill="FFFFFF"/>
        <w:spacing w:before="120" w:after="120" w:line="240" w:lineRule="auto"/>
        <w:jc w:val="both"/>
        <w:rPr>
          <w:rFonts w:eastAsia="Times New Roman" w:cstheme="minorHAnsi"/>
          <w:b/>
          <w:sz w:val="32"/>
          <w:szCs w:val="32"/>
          <w:lang w:eastAsia="it-IT"/>
        </w:rPr>
      </w:pPr>
    </w:p>
    <w:p w:rsidR="00174687" w:rsidRPr="008B18AC" w:rsidRDefault="008B18AC" w:rsidP="00276108">
      <w:pPr>
        <w:shd w:val="clear" w:color="auto" w:fill="FFFFFF"/>
        <w:spacing w:after="0" w:line="240" w:lineRule="auto"/>
        <w:jc w:val="both"/>
        <w:rPr>
          <w:rFonts w:eastAsia="Times New Roman" w:cstheme="minorHAnsi"/>
          <w:sz w:val="32"/>
          <w:szCs w:val="32"/>
          <w:lang w:eastAsia="it-IT"/>
        </w:rPr>
      </w:pPr>
      <w:r>
        <w:rPr>
          <w:rFonts w:eastAsia="Times New Roman" w:cstheme="minorHAnsi"/>
          <w:b/>
          <w:iCs/>
          <w:sz w:val="32"/>
          <w:szCs w:val="32"/>
          <w:lang w:eastAsia="it-IT"/>
        </w:rPr>
        <w:tab/>
      </w:r>
      <w:r w:rsidR="00144B75" w:rsidRPr="008B18AC">
        <w:rPr>
          <w:rFonts w:eastAsia="Times New Roman" w:cstheme="minorHAnsi"/>
          <w:iCs/>
          <w:sz w:val="32"/>
          <w:szCs w:val="32"/>
          <w:lang w:eastAsia="it-IT"/>
        </w:rPr>
        <w:t xml:space="preserve">La Dichiarazione Congiunta sulla Dottrina della Giustificazione  </w:t>
      </w:r>
      <w:r w:rsidR="00276108" w:rsidRPr="008B18AC">
        <w:rPr>
          <w:rFonts w:eastAsia="Times New Roman" w:cstheme="minorHAnsi"/>
          <w:sz w:val="32"/>
          <w:szCs w:val="32"/>
          <w:lang w:eastAsia="it-IT"/>
        </w:rPr>
        <w:t>(Commissione Luterana–</w:t>
      </w:r>
      <w:r w:rsidR="00144B75" w:rsidRPr="008B18AC">
        <w:rPr>
          <w:rFonts w:eastAsia="Times New Roman" w:cstheme="minorHAnsi"/>
          <w:sz w:val="32"/>
          <w:szCs w:val="32"/>
          <w:lang w:eastAsia="it-IT"/>
        </w:rPr>
        <w:t>Cattolica,</w:t>
      </w:r>
      <w:r w:rsidR="00091367">
        <w:rPr>
          <w:rFonts w:eastAsia="Times New Roman" w:cstheme="minorHAnsi"/>
          <w:sz w:val="32"/>
          <w:szCs w:val="32"/>
          <w:lang w:eastAsia="it-IT"/>
        </w:rPr>
        <w:t xml:space="preserve"> Augsburg</w:t>
      </w:r>
      <w:r w:rsidR="00144B75" w:rsidRPr="008B18AC">
        <w:rPr>
          <w:rFonts w:eastAsia="Times New Roman" w:cstheme="minorHAnsi"/>
          <w:sz w:val="32"/>
          <w:szCs w:val="32"/>
          <w:lang w:eastAsia="it-IT"/>
        </w:rPr>
        <w:t xml:space="preserve"> 31 ottobre 1999)</w:t>
      </w:r>
      <w:r w:rsidR="00144B75" w:rsidRPr="008B18AC">
        <w:rPr>
          <w:rFonts w:eastAsia="Times New Roman" w:cstheme="minorHAnsi"/>
          <w:iCs/>
          <w:sz w:val="32"/>
          <w:szCs w:val="32"/>
          <w:lang w:eastAsia="it-IT"/>
        </w:rPr>
        <w:t xml:space="preserve"> segna la svolta dei rapporti fra luterani e cattolici, partendo da una nuova comprensione di ciò che aveva c</w:t>
      </w:r>
      <w:r w:rsidR="00091367">
        <w:rPr>
          <w:rFonts w:eastAsia="Times New Roman" w:cstheme="minorHAnsi"/>
          <w:iCs/>
          <w:sz w:val="32"/>
          <w:szCs w:val="32"/>
          <w:lang w:eastAsia="it-IT"/>
        </w:rPr>
        <w:t>ausato la rottura.</w:t>
      </w:r>
      <w:r w:rsidR="00144B75" w:rsidRPr="008B18AC">
        <w:rPr>
          <w:rFonts w:eastAsia="Times New Roman" w:cstheme="minorHAnsi"/>
          <w:iCs/>
          <w:sz w:val="32"/>
          <w:szCs w:val="32"/>
          <w:lang w:eastAsia="it-IT"/>
        </w:rPr>
        <w:t xml:space="preserve">  </w:t>
      </w:r>
      <w:r w:rsidR="00144B75" w:rsidRPr="008B18AC">
        <w:rPr>
          <w:rFonts w:cstheme="minorHAnsi"/>
          <w:sz w:val="32"/>
          <w:szCs w:val="32"/>
        </w:rPr>
        <w:t>Il pensiero di Lutero e dei successivi protestanti è</w:t>
      </w:r>
      <w:r w:rsidR="00091367">
        <w:rPr>
          <w:rFonts w:cstheme="minorHAnsi"/>
          <w:sz w:val="32"/>
          <w:szCs w:val="32"/>
        </w:rPr>
        <w:t>, infatti,</w:t>
      </w:r>
      <w:r w:rsidR="00144B75" w:rsidRPr="008B18AC">
        <w:rPr>
          <w:rFonts w:cstheme="minorHAnsi"/>
          <w:sz w:val="32"/>
          <w:szCs w:val="32"/>
        </w:rPr>
        <w:t xml:space="preserve"> dominato dal principio del "</w:t>
      </w:r>
      <w:r w:rsidR="00144B75" w:rsidRPr="00091367">
        <w:rPr>
          <w:rFonts w:cstheme="minorHAnsi"/>
          <w:i/>
          <w:sz w:val="32"/>
          <w:szCs w:val="32"/>
        </w:rPr>
        <w:t>sola fide</w:t>
      </w:r>
      <w:r w:rsidR="00144B75" w:rsidRPr="008B18AC">
        <w:rPr>
          <w:rFonts w:cstheme="minorHAnsi"/>
          <w:sz w:val="32"/>
          <w:szCs w:val="32"/>
        </w:rPr>
        <w:t>", mentre la </w:t>
      </w:r>
      <w:hyperlink r:id="rId10" w:tooltip="Chiesa cattolica" w:history="1">
        <w:r w:rsidR="00144B75" w:rsidRPr="008B18AC">
          <w:rPr>
            <w:rStyle w:val="Collegamentoipertestuale"/>
            <w:rFonts w:cstheme="minorHAnsi"/>
            <w:color w:val="auto"/>
            <w:sz w:val="32"/>
            <w:szCs w:val="32"/>
            <w:u w:val="none"/>
          </w:rPr>
          <w:t>Chiesa cattolica</w:t>
        </w:r>
      </w:hyperlink>
      <w:r w:rsidR="00144B75" w:rsidRPr="008B18AC">
        <w:rPr>
          <w:rFonts w:cstheme="minorHAnsi"/>
          <w:sz w:val="32"/>
          <w:szCs w:val="32"/>
        </w:rPr>
        <w:t> di allora dava principalmente risalto alle opere di </w:t>
      </w:r>
      <w:hyperlink r:id="rId11" w:tooltip="Carità" w:history="1">
        <w:r w:rsidR="00144B75" w:rsidRPr="008B18AC">
          <w:rPr>
            <w:rStyle w:val="Collegamentoipertestuale"/>
            <w:rFonts w:cstheme="minorHAnsi"/>
            <w:color w:val="auto"/>
            <w:sz w:val="32"/>
            <w:szCs w:val="32"/>
            <w:u w:val="none"/>
          </w:rPr>
          <w:t>carità</w:t>
        </w:r>
      </w:hyperlink>
      <w:r w:rsidR="00144B75" w:rsidRPr="008B18AC">
        <w:rPr>
          <w:rFonts w:cstheme="minorHAnsi"/>
          <w:sz w:val="32"/>
          <w:szCs w:val="32"/>
        </w:rPr>
        <w:t xml:space="preserve">, che erano talvolta sfociate in una mera e gretta compravendita di indulgenze. </w:t>
      </w:r>
    </w:p>
    <w:p w:rsidR="00174687" w:rsidRPr="008B18AC" w:rsidRDefault="00174687" w:rsidP="00174687">
      <w:pPr>
        <w:shd w:val="clear" w:color="auto" w:fill="FFFFFF"/>
        <w:spacing w:before="120" w:after="120" w:line="240" w:lineRule="auto"/>
        <w:ind w:firstLine="708"/>
        <w:jc w:val="both"/>
        <w:rPr>
          <w:rFonts w:cstheme="minorHAnsi"/>
          <w:sz w:val="32"/>
          <w:szCs w:val="32"/>
        </w:rPr>
      </w:pPr>
      <w:r w:rsidRPr="008B18AC">
        <w:rPr>
          <w:rFonts w:cstheme="minorHAnsi"/>
          <w:sz w:val="32"/>
          <w:szCs w:val="32"/>
        </w:rPr>
        <w:t>I</w:t>
      </w:r>
      <w:r w:rsidR="00144B75" w:rsidRPr="008B18AC">
        <w:rPr>
          <w:rFonts w:cstheme="minorHAnsi"/>
          <w:sz w:val="32"/>
          <w:szCs w:val="32"/>
        </w:rPr>
        <w:t>l testo non fa altro che affermare la complementarietà della fede e delle opere nel processo di </w:t>
      </w:r>
      <w:hyperlink r:id="rId12" w:tooltip="Giustificazione (la pagina non esiste)" w:history="1">
        <w:r w:rsidR="00144B75" w:rsidRPr="008B18AC">
          <w:rPr>
            <w:rStyle w:val="Collegamentoipertestuale"/>
            <w:rFonts w:cstheme="minorHAnsi"/>
            <w:color w:val="auto"/>
            <w:sz w:val="32"/>
            <w:szCs w:val="32"/>
            <w:u w:val="none"/>
          </w:rPr>
          <w:t>giustificazione</w:t>
        </w:r>
      </w:hyperlink>
      <w:r w:rsidR="00144B75" w:rsidRPr="008B18AC">
        <w:rPr>
          <w:rFonts w:cstheme="minorHAnsi"/>
          <w:sz w:val="32"/>
          <w:szCs w:val="32"/>
        </w:rPr>
        <w:t>, in vista del conseguimento della </w:t>
      </w:r>
      <w:hyperlink r:id="rId13" w:tooltip="Salvezza" w:history="1">
        <w:r w:rsidR="00144B75" w:rsidRPr="008B18AC">
          <w:rPr>
            <w:rStyle w:val="Collegamentoipertestuale"/>
            <w:rFonts w:cstheme="minorHAnsi"/>
            <w:color w:val="auto"/>
            <w:sz w:val="32"/>
            <w:szCs w:val="32"/>
            <w:u w:val="none"/>
          </w:rPr>
          <w:t>salvezza</w:t>
        </w:r>
      </w:hyperlink>
      <w:r w:rsidR="00144B75" w:rsidRPr="008B18AC">
        <w:rPr>
          <w:rFonts w:cstheme="minorHAnsi"/>
          <w:sz w:val="32"/>
          <w:szCs w:val="32"/>
        </w:rPr>
        <w:t xml:space="preserve"> poiché " </w:t>
      </w:r>
      <w:r w:rsidR="00144B75" w:rsidRPr="008B18AC">
        <w:rPr>
          <w:rFonts w:cstheme="minorHAnsi"/>
          <w:i/>
          <w:sz w:val="32"/>
          <w:szCs w:val="32"/>
        </w:rPr>
        <w:t xml:space="preserve">le buone opere — una vita cristiana nella fede nella speranza e nell’amore — sono la conseguenza della giustificazione e ne rappresentano i frutti. Quando il giustificato vive in Cristo e agisce nella </w:t>
      </w:r>
      <w:r w:rsidR="00144B75" w:rsidRPr="008B18AC">
        <w:rPr>
          <w:rFonts w:cstheme="minorHAnsi"/>
          <w:i/>
          <w:sz w:val="32"/>
          <w:szCs w:val="32"/>
        </w:rPr>
        <w:lastRenderedPageBreak/>
        <w:t>grazia che ha ricevuto, egli dà, secondo un modo di esprimersi biblico, dei buoni frutti</w:t>
      </w:r>
      <w:r w:rsidRPr="008B18AC">
        <w:rPr>
          <w:rFonts w:cstheme="minorHAnsi"/>
          <w:sz w:val="32"/>
          <w:szCs w:val="32"/>
        </w:rPr>
        <w:t>" (n. 37).</w:t>
      </w:r>
    </w:p>
    <w:p w:rsidR="00144B75" w:rsidRPr="008B18AC" w:rsidRDefault="00144B75" w:rsidP="00174687">
      <w:pPr>
        <w:shd w:val="clear" w:color="auto" w:fill="FFFFFF"/>
        <w:spacing w:before="120" w:after="120" w:line="240" w:lineRule="auto"/>
        <w:ind w:firstLine="708"/>
        <w:jc w:val="both"/>
        <w:rPr>
          <w:rFonts w:cstheme="minorHAnsi"/>
          <w:sz w:val="32"/>
          <w:szCs w:val="32"/>
        </w:rPr>
      </w:pPr>
      <w:r w:rsidRPr="008B18AC">
        <w:rPr>
          <w:rFonts w:cstheme="minorHAnsi"/>
          <w:sz w:val="32"/>
          <w:szCs w:val="32"/>
        </w:rPr>
        <w:t xml:space="preserve"> C’è pertanto un consenso fra le due Chiese anche se sussistono differenze nell’espressione di questa fede.</w:t>
      </w:r>
    </w:p>
    <w:p w:rsidR="00174687" w:rsidRPr="00382EC6" w:rsidRDefault="00174687" w:rsidP="00174687">
      <w:pPr>
        <w:shd w:val="clear" w:color="auto" w:fill="FFFFFF"/>
        <w:spacing w:before="120" w:after="120" w:line="240" w:lineRule="auto"/>
        <w:jc w:val="both"/>
        <w:rPr>
          <w:rFonts w:cstheme="minorHAnsi"/>
          <w:b/>
          <w:sz w:val="32"/>
          <w:szCs w:val="32"/>
        </w:rPr>
      </w:pPr>
    </w:p>
    <w:p w:rsidR="00174687" w:rsidRPr="00382EC6" w:rsidRDefault="00174687" w:rsidP="00174687">
      <w:pPr>
        <w:shd w:val="clear" w:color="auto" w:fill="FFFFFF"/>
        <w:spacing w:before="120" w:after="120" w:line="240" w:lineRule="auto"/>
        <w:jc w:val="both"/>
        <w:rPr>
          <w:rFonts w:cstheme="minorHAnsi"/>
          <w:b/>
          <w:sz w:val="32"/>
          <w:szCs w:val="32"/>
        </w:rPr>
      </w:pPr>
      <w:r w:rsidRPr="00382EC6">
        <w:rPr>
          <w:rFonts w:eastAsia="Times New Roman" w:cstheme="minorHAnsi"/>
          <w:b/>
          <w:sz w:val="32"/>
          <w:szCs w:val="32"/>
          <w:u w:val="single"/>
          <w:lang w:eastAsia="it-IT"/>
        </w:rPr>
        <w:t xml:space="preserve">La </w:t>
      </w:r>
      <w:r w:rsidRPr="00382EC6">
        <w:rPr>
          <w:rFonts w:cstheme="minorHAnsi"/>
          <w:b/>
          <w:sz w:val="32"/>
          <w:szCs w:val="32"/>
          <w:u w:val="single"/>
          <w:shd w:val="clear" w:color="auto" w:fill="FFFFFF"/>
        </w:rPr>
        <w:t>Charta</w:t>
      </w:r>
      <w:r w:rsidR="000558F7">
        <w:rPr>
          <w:rFonts w:cstheme="minorHAnsi"/>
          <w:b/>
          <w:sz w:val="32"/>
          <w:szCs w:val="32"/>
          <w:u w:val="single"/>
          <w:shd w:val="clear" w:color="auto" w:fill="FFFFFF"/>
        </w:rPr>
        <w:t xml:space="preserve"> Œ</w:t>
      </w:r>
      <w:r w:rsidRPr="00382EC6">
        <w:rPr>
          <w:rFonts w:cstheme="minorHAnsi"/>
          <w:b/>
          <w:sz w:val="32"/>
          <w:szCs w:val="32"/>
          <w:u w:val="single"/>
          <w:shd w:val="clear" w:color="auto" w:fill="FFFFFF"/>
        </w:rPr>
        <w:t>cumenica</w:t>
      </w:r>
    </w:p>
    <w:p w:rsidR="00144B75" w:rsidRPr="00382EC6" w:rsidRDefault="00144B75" w:rsidP="00144B75">
      <w:pPr>
        <w:shd w:val="clear" w:color="auto" w:fill="FFFFFF"/>
        <w:spacing w:after="0" w:line="240" w:lineRule="auto"/>
        <w:ind w:firstLine="708"/>
        <w:jc w:val="both"/>
        <w:rPr>
          <w:rFonts w:eastAsia="Times New Roman" w:cstheme="minorHAnsi"/>
          <w:b/>
          <w:sz w:val="32"/>
          <w:szCs w:val="32"/>
          <w:lang w:eastAsia="it-IT"/>
        </w:rPr>
      </w:pPr>
    </w:p>
    <w:p w:rsidR="00144B75" w:rsidRPr="008B18AC" w:rsidRDefault="00174687" w:rsidP="00174687">
      <w:pPr>
        <w:shd w:val="clear" w:color="auto" w:fill="FFFFFF"/>
        <w:spacing w:line="240" w:lineRule="auto"/>
        <w:ind w:firstLine="708"/>
        <w:jc w:val="both"/>
        <w:rPr>
          <w:rFonts w:cstheme="minorHAnsi"/>
          <w:sz w:val="32"/>
          <w:szCs w:val="32"/>
        </w:rPr>
      </w:pPr>
      <w:r w:rsidRPr="008B18AC">
        <w:rPr>
          <w:rFonts w:eastAsia="Times New Roman" w:cstheme="minorHAnsi"/>
          <w:sz w:val="32"/>
          <w:szCs w:val="32"/>
          <w:lang w:eastAsia="it-IT"/>
        </w:rPr>
        <w:t>L</w:t>
      </w:r>
      <w:r w:rsidR="00144B75" w:rsidRPr="008B18AC">
        <w:rPr>
          <w:rFonts w:eastAsia="Times New Roman" w:cstheme="minorHAnsi"/>
          <w:sz w:val="32"/>
          <w:szCs w:val="32"/>
          <w:lang w:eastAsia="it-IT"/>
        </w:rPr>
        <w:t xml:space="preserve">a </w:t>
      </w:r>
      <w:r w:rsidR="00C10824">
        <w:rPr>
          <w:rFonts w:cstheme="minorHAnsi"/>
          <w:sz w:val="32"/>
          <w:szCs w:val="32"/>
          <w:shd w:val="clear" w:color="auto" w:fill="FFFFFF"/>
        </w:rPr>
        <w:t>Charta Œ</w:t>
      </w:r>
      <w:r w:rsidR="00144B75" w:rsidRPr="008B18AC">
        <w:rPr>
          <w:rFonts w:cstheme="minorHAnsi"/>
          <w:sz w:val="32"/>
          <w:szCs w:val="32"/>
          <w:shd w:val="clear" w:color="auto" w:fill="FFFFFF"/>
        </w:rPr>
        <w:t>cumenica</w:t>
      </w:r>
      <w:r w:rsidRPr="008B18AC">
        <w:rPr>
          <w:rFonts w:cstheme="minorHAnsi"/>
          <w:sz w:val="32"/>
          <w:szCs w:val="32"/>
          <w:shd w:val="clear" w:color="auto" w:fill="FFFFFF"/>
        </w:rPr>
        <w:t xml:space="preserve">, </w:t>
      </w:r>
      <w:r w:rsidR="00F9115C" w:rsidRPr="008B18AC">
        <w:rPr>
          <w:rFonts w:cstheme="minorHAnsi"/>
          <w:sz w:val="32"/>
          <w:szCs w:val="32"/>
          <w:shd w:val="clear" w:color="auto" w:fill="FFFFFF"/>
        </w:rPr>
        <w:t xml:space="preserve">è </w:t>
      </w:r>
      <w:r w:rsidRPr="008B18AC">
        <w:rPr>
          <w:rFonts w:cstheme="minorHAnsi"/>
          <w:sz w:val="32"/>
          <w:szCs w:val="32"/>
          <w:shd w:val="clear" w:color="auto" w:fill="FFFFFF"/>
        </w:rPr>
        <w:t xml:space="preserve">frutto di un prezioso lavoro congiunto </w:t>
      </w:r>
      <w:r w:rsidR="00F9115C" w:rsidRPr="008B18AC">
        <w:rPr>
          <w:rFonts w:cstheme="minorHAnsi"/>
          <w:sz w:val="32"/>
          <w:szCs w:val="32"/>
          <w:shd w:val="clear" w:color="auto" w:fill="FFFFFF"/>
        </w:rPr>
        <w:t xml:space="preserve">del Consiglio delle Conferenze Episcopali Europee (CCEE) insieme alla </w:t>
      </w:r>
      <w:r w:rsidRPr="008B18AC">
        <w:rPr>
          <w:rFonts w:cstheme="minorHAnsi"/>
          <w:sz w:val="32"/>
          <w:szCs w:val="32"/>
          <w:shd w:val="clear" w:color="auto" w:fill="FFFFFF"/>
        </w:rPr>
        <w:t>Conferenza dell</w:t>
      </w:r>
      <w:r w:rsidR="00F9115C" w:rsidRPr="008B18AC">
        <w:rPr>
          <w:rFonts w:cstheme="minorHAnsi"/>
          <w:sz w:val="32"/>
          <w:szCs w:val="32"/>
          <w:shd w:val="clear" w:color="auto" w:fill="FFFFFF"/>
        </w:rPr>
        <w:t>e Chiese Europee(</w:t>
      </w:r>
      <w:r w:rsidR="00144B75" w:rsidRPr="008B18AC">
        <w:rPr>
          <w:rFonts w:cstheme="minorHAnsi"/>
          <w:sz w:val="32"/>
          <w:szCs w:val="32"/>
          <w:shd w:val="clear" w:color="auto" w:fill="FFFFFF"/>
        </w:rPr>
        <w:t>KEK</w:t>
      </w:r>
      <w:r w:rsidR="00F9115C" w:rsidRPr="008B18AC">
        <w:rPr>
          <w:rFonts w:cstheme="minorHAnsi"/>
          <w:sz w:val="32"/>
          <w:szCs w:val="32"/>
          <w:shd w:val="clear" w:color="auto" w:fill="FFFFFF"/>
        </w:rPr>
        <w:t>) e, pubblicata nel</w:t>
      </w:r>
      <w:r w:rsidR="00144B75" w:rsidRPr="008B18AC">
        <w:rPr>
          <w:rFonts w:cstheme="minorHAnsi"/>
          <w:sz w:val="32"/>
          <w:szCs w:val="32"/>
          <w:shd w:val="clear" w:color="auto" w:fill="FFFFFF"/>
        </w:rPr>
        <w:t xml:space="preserve"> 2001</w:t>
      </w:r>
      <w:r w:rsidR="00F72CD5">
        <w:rPr>
          <w:rFonts w:cstheme="minorHAnsi"/>
          <w:sz w:val="32"/>
          <w:szCs w:val="32"/>
          <w:shd w:val="clear" w:color="auto" w:fill="FFFFFF"/>
        </w:rPr>
        <w:t>,</w:t>
      </w:r>
      <w:r w:rsidR="00F9115C" w:rsidRPr="008B18AC">
        <w:rPr>
          <w:rFonts w:cstheme="minorHAnsi"/>
          <w:sz w:val="32"/>
          <w:szCs w:val="32"/>
          <w:shd w:val="clear" w:color="auto" w:fill="FFFFFF"/>
        </w:rPr>
        <w:t xml:space="preserve"> </w:t>
      </w:r>
      <w:r w:rsidR="00144B75" w:rsidRPr="008B18AC">
        <w:rPr>
          <w:rFonts w:cstheme="minorHAnsi"/>
          <w:sz w:val="32"/>
          <w:szCs w:val="32"/>
          <w:shd w:val="clear" w:color="auto" w:fill="FFFFFF"/>
        </w:rPr>
        <w:t xml:space="preserve">indica le </w:t>
      </w:r>
      <w:r w:rsidR="00144B75" w:rsidRPr="008B18AC">
        <w:rPr>
          <w:rFonts w:cstheme="minorHAnsi"/>
          <w:sz w:val="32"/>
          <w:szCs w:val="32"/>
        </w:rPr>
        <w:t>l</w:t>
      </w:r>
      <w:r w:rsidR="00144B75" w:rsidRPr="008B18AC">
        <w:rPr>
          <w:rFonts w:eastAsia="Calibri" w:cstheme="minorHAnsi"/>
          <w:sz w:val="32"/>
          <w:szCs w:val="32"/>
        </w:rPr>
        <w:t>inee guida per la crescita della collaborazione tra le Chiese in Europa</w:t>
      </w:r>
      <w:r w:rsidR="00144B75" w:rsidRPr="008B18AC">
        <w:rPr>
          <w:rFonts w:cstheme="minorHAnsi"/>
          <w:sz w:val="32"/>
          <w:szCs w:val="32"/>
        </w:rPr>
        <w:t xml:space="preserve"> per mantenere e sviluppare ulteriormente la collaborazione e </w:t>
      </w:r>
      <w:r w:rsidR="008B18AC">
        <w:rPr>
          <w:rFonts w:cstheme="minorHAnsi"/>
          <w:sz w:val="32"/>
          <w:szCs w:val="32"/>
        </w:rPr>
        <w:t xml:space="preserve">la </w:t>
      </w:r>
      <w:r w:rsidR="00144B75" w:rsidRPr="008B18AC">
        <w:rPr>
          <w:rFonts w:cstheme="minorHAnsi"/>
          <w:sz w:val="32"/>
          <w:szCs w:val="32"/>
        </w:rPr>
        <w:t>comunione sviluppatasi attraverso gli incontri delle Assemblee ecumeniche di Basilea e Graz. Lo scopo di fondo è contribuire come Chiese alla riconciliazione dei popoli e delle culture nel vasto e differenziato continente europeo, promuovendo una cultura ecumenica del dialogo e del rispetto della dignità di ogni persona umana.</w:t>
      </w:r>
    </w:p>
    <w:p w:rsidR="00FD0FE1" w:rsidRPr="00382EC6" w:rsidRDefault="00FD0FE1" w:rsidP="00174687">
      <w:pPr>
        <w:shd w:val="clear" w:color="auto" w:fill="FFFFFF"/>
        <w:spacing w:line="240" w:lineRule="auto"/>
        <w:ind w:firstLine="708"/>
        <w:jc w:val="both"/>
        <w:rPr>
          <w:rFonts w:cstheme="minorHAnsi"/>
          <w:b/>
          <w:sz w:val="32"/>
          <w:szCs w:val="32"/>
        </w:rPr>
      </w:pPr>
    </w:p>
    <w:p w:rsidR="00FD0FE1" w:rsidRPr="00382EC6" w:rsidRDefault="00FD0FE1" w:rsidP="00FD0FE1">
      <w:pPr>
        <w:shd w:val="clear" w:color="auto" w:fill="FFFFFF"/>
        <w:spacing w:line="240" w:lineRule="auto"/>
        <w:jc w:val="both"/>
        <w:rPr>
          <w:rFonts w:cstheme="minorHAnsi"/>
          <w:b/>
          <w:sz w:val="32"/>
          <w:szCs w:val="32"/>
        </w:rPr>
      </w:pPr>
      <w:r w:rsidRPr="00382EC6">
        <w:rPr>
          <w:rFonts w:eastAsia="Times New Roman" w:cstheme="minorHAnsi"/>
          <w:b/>
          <w:sz w:val="32"/>
          <w:szCs w:val="32"/>
          <w:u w:val="single"/>
          <w:lang w:eastAsia="it-IT"/>
        </w:rPr>
        <w:t>Maria, grazia e speranza in Cristo</w:t>
      </w:r>
    </w:p>
    <w:p w:rsidR="00144B75" w:rsidRPr="00382EC6" w:rsidRDefault="00144B75" w:rsidP="00144B75">
      <w:pPr>
        <w:pStyle w:val="Paragrafoelenco"/>
        <w:shd w:val="clear" w:color="auto" w:fill="FFFFFF"/>
        <w:spacing w:after="0" w:line="240" w:lineRule="auto"/>
        <w:jc w:val="both"/>
        <w:rPr>
          <w:rFonts w:eastAsia="Times New Roman" w:cstheme="minorHAnsi"/>
          <w:b/>
          <w:sz w:val="32"/>
          <w:szCs w:val="32"/>
          <w:lang w:eastAsia="it-IT"/>
        </w:rPr>
      </w:pPr>
    </w:p>
    <w:p w:rsidR="00144B75" w:rsidRPr="008B18AC" w:rsidRDefault="00FD0FE1" w:rsidP="00FD0FE1">
      <w:pPr>
        <w:shd w:val="clear" w:color="auto" w:fill="FFFFFF"/>
        <w:spacing w:before="120" w:after="120" w:line="240" w:lineRule="auto"/>
        <w:ind w:firstLine="708"/>
        <w:jc w:val="both"/>
        <w:rPr>
          <w:rFonts w:eastAsia="Times New Roman" w:cstheme="minorHAnsi"/>
          <w:sz w:val="32"/>
          <w:szCs w:val="32"/>
          <w:lang w:eastAsia="it-IT"/>
        </w:rPr>
      </w:pPr>
      <w:r w:rsidRPr="008B18AC">
        <w:rPr>
          <w:rFonts w:eastAsia="Times New Roman" w:cstheme="minorHAnsi"/>
          <w:sz w:val="32"/>
          <w:szCs w:val="32"/>
          <w:lang w:eastAsia="it-IT"/>
        </w:rPr>
        <w:t>Questo Documento</w:t>
      </w:r>
      <w:r w:rsidR="00E70C89" w:rsidRPr="008B18AC">
        <w:rPr>
          <w:rFonts w:eastAsia="Times New Roman" w:cstheme="minorHAnsi"/>
          <w:sz w:val="32"/>
          <w:szCs w:val="32"/>
          <w:lang w:eastAsia="it-IT"/>
        </w:rPr>
        <w:t xml:space="preserve"> (Documento di Seattle, 2004) </w:t>
      </w:r>
      <w:r w:rsidR="00144B75" w:rsidRPr="008B18AC">
        <w:rPr>
          <w:rFonts w:eastAsia="Times New Roman" w:cstheme="minorHAnsi"/>
          <w:sz w:val="32"/>
          <w:szCs w:val="32"/>
          <w:lang w:eastAsia="it-IT"/>
        </w:rPr>
        <w:t xml:space="preserve">è frutto del dialogo della Commissione internazionale Anglicano – Cattolica (ARCIC) che si propone di chiarificare il ruolo che Anglicani e Cattolici attribuiscono alla Vergine Maria nel piano della Salvezza. Viene affermata la Vergine Maria come </w:t>
      </w:r>
      <w:r w:rsidR="00144B75" w:rsidRPr="008B18AC">
        <w:rPr>
          <w:rFonts w:eastAsia="Times New Roman" w:cstheme="minorHAnsi"/>
          <w:i/>
          <w:sz w:val="32"/>
          <w:szCs w:val="32"/>
          <w:lang w:eastAsia="it-IT"/>
        </w:rPr>
        <w:t>Teotokos</w:t>
      </w:r>
      <w:r w:rsidR="00144B75" w:rsidRPr="008B18AC">
        <w:rPr>
          <w:rFonts w:eastAsia="Times New Roman" w:cstheme="minorHAnsi"/>
          <w:sz w:val="32"/>
          <w:szCs w:val="32"/>
          <w:lang w:eastAsia="it-IT"/>
        </w:rPr>
        <w:t xml:space="preserve">, Madre del Dio incarnato, che è modello di santità, di fede e di obbedienza per ogni cristiano. Si riconosce che Maria e i Santi pregano per tutta la Chiesa e l’uso di chiedere la loro intercessione non è un fattore di divisione, </w:t>
      </w:r>
      <w:r w:rsidR="00E70C89" w:rsidRPr="008B18AC">
        <w:rPr>
          <w:rFonts w:eastAsia="Times New Roman" w:cstheme="minorHAnsi"/>
          <w:sz w:val="32"/>
          <w:szCs w:val="32"/>
          <w:lang w:eastAsia="it-IT"/>
        </w:rPr>
        <w:t xml:space="preserve">anche se </w:t>
      </w:r>
      <w:r w:rsidR="00144B75" w:rsidRPr="008B18AC">
        <w:rPr>
          <w:rFonts w:eastAsia="Times New Roman" w:cstheme="minorHAnsi"/>
          <w:sz w:val="32"/>
          <w:szCs w:val="32"/>
          <w:lang w:eastAsia="it-IT"/>
        </w:rPr>
        <w:t>ogni considerazione su Maria deve essere legata alle dottrine del Cristo e della Chiesa ed il ruolo attribuito a Maria non deve oscurare l’unica mediazione di Cristo.</w:t>
      </w:r>
    </w:p>
    <w:p w:rsidR="00144B75" w:rsidRPr="008B18AC" w:rsidRDefault="00144B75" w:rsidP="00FD0FE1">
      <w:pPr>
        <w:spacing w:after="0" w:line="240" w:lineRule="auto"/>
        <w:ind w:firstLine="708"/>
        <w:jc w:val="both"/>
        <w:rPr>
          <w:rFonts w:cstheme="minorHAnsi"/>
          <w:sz w:val="32"/>
          <w:szCs w:val="32"/>
        </w:rPr>
      </w:pPr>
      <w:r w:rsidRPr="008B18AC">
        <w:rPr>
          <w:rFonts w:eastAsia="Times New Roman" w:cstheme="minorHAnsi"/>
          <w:sz w:val="32"/>
          <w:szCs w:val="32"/>
          <w:lang w:eastAsia="it-IT"/>
        </w:rPr>
        <w:t xml:space="preserve">Per quanto riguarda la fede del mondo protestante nella Vergine Maria, di certo ogni Chiesa ha una sua concezione specifica ma possiamo ben ritenere quanto affermato dal Prof. Valdo Bertalot (Segretario </w:t>
      </w:r>
      <w:r w:rsidRPr="008B18AC">
        <w:rPr>
          <w:rFonts w:eastAsia="Times New Roman" w:cstheme="minorHAnsi"/>
          <w:sz w:val="32"/>
          <w:szCs w:val="32"/>
          <w:lang w:eastAsia="it-IT"/>
        </w:rPr>
        <w:lastRenderedPageBreak/>
        <w:t>Generale della Società</w:t>
      </w:r>
      <w:r w:rsidR="00F72CD5">
        <w:rPr>
          <w:rFonts w:eastAsia="Times New Roman" w:cstheme="minorHAnsi"/>
          <w:sz w:val="32"/>
          <w:szCs w:val="32"/>
          <w:lang w:eastAsia="it-IT"/>
        </w:rPr>
        <w:t xml:space="preserve"> </w:t>
      </w:r>
      <w:r w:rsidRPr="008B18AC">
        <w:rPr>
          <w:rFonts w:eastAsia="Times New Roman" w:cstheme="minorHAnsi"/>
          <w:sz w:val="32"/>
          <w:szCs w:val="32"/>
          <w:lang w:eastAsia="it-IT"/>
        </w:rPr>
        <w:t xml:space="preserve">Biblica in Italia) a commento </w:t>
      </w:r>
      <w:r w:rsidRPr="008B18AC">
        <w:rPr>
          <w:rFonts w:cstheme="minorHAnsi"/>
          <w:sz w:val="32"/>
          <w:szCs w:val="32"/>
        </w:rPr>
        <w:t>del Sinodo sulla Parola di Dio nella vita della Chiesa (ottobre 2008) in cui Maria è stata presentata come archetipo dell’ascolto della Parola di Dio. Quattro verbi – ha precisato - nel Vangelo descrivono la Vergine Maria: fiat; m</w:t>
      </w:r>
      <w:r w:rsidR="008B18AC">
        <w:rPr>
          <w:rFonts w:cstheme="minorHAnsi"/>
          <w:sz w:val="32"/>
          <w:szCs w:val="32"/>
        </w:rPr>
        <w:t>agnificat; conservabat; stabat:</w:t>
      </w:r>
      <w:r w:rsidRPr="008B18AC">
        <w:rPr>
          <w:rFonts w:cstheme="minorHAnsi"/>
          <w:sz w:val="32"/>
          <w:szCs w:val="32"/>
        </w:rPr>
        <w:t xml:space="preserve"> in questi quattro atteggiamenti desunti dalla Parola di Dio,anche un Evangelico può parlare di Maria ed accoglierla come esempio.</w:t>
      </w:r>
    </w:p>
    <w:p w:rsidR="00FD0FE1" w:rsidRPr="00382EC6" w:rsidRDefault="00FD0FE1" w:rsidP="00FD0FE1">
      <w:pPr>
        <w:spacing w:after="0" w:line="240" w:lineRule="auto"/>
        <w:ind w:firstLine="708"/>
        <w:jc w:val="both"/>
        <w:rPr>
          <w:rFonts w:cstheme="minorHAnsi"/>
          <w:b/>
          <w:sz w:val="32"/>
          <w:szCs w:val="32"/>
        </w:rPr>
      </w:pPr>
    </w:p>
    <w:p w:rsidR="00FD0FE1" w:rsidRPr="00382EC6" w:rsidRDefault="00FD0FE1" w:rsidP="00FD0FE1">
      <w:pPr>
        <w:spacing w:after="0" w:line="240" w:lineRule="auto"/>
        <w:jc w:val="both"/>
        <w:rPr>
          <w:rFonts w:cstheme="minorHAnsi"/>
          <w:b/>
          <w:sz w:val="32"/>
          <w:szCs w:val="32"/>
        </w:rPr>
      </w:pPr>
      <w:r w:rsidRPr="00382EC6">
        <w:rPr>
          <w:rFonts w:eastAsia="Times New Roman" w:cstheme="minorHAnsi"/>
          <w:b/>
          <w:sz w:val="32"/>
          <w:szCs w:val="32"/>
          <w:u w:val="single"/>
          <w:lang w:eastAsia="it-IT"/>
        </w:rPr>
        <w:t>Un solo Maestro</w:t>
      </w:r>
    </w:p>
    <w:p w:rsidR="00144B75" w:rsidRPr="00382EC6" w:rsidRDefault="00144B75" w:rsidP="00141C8C">
      <w:pPr>
        <w:shd w:val="clear" w:color="auto" w:fill="FFFFFF"/>
        <w:spacing w:before="120" w:after="120" w:line="240" w:lineRule="auto"/>
        <w:jc w:val="both"/>
        <w:rPr>
          <w:rFonts w:eastAsia="Times New Roman" w:cstheme="minorHAnsi"/>
          <w:b/>
          <w:sz w:val="32"/>
          <w:szCs w:val="32"/>
          <w:lang w:eastAsia="it-IT"/>
        </w:rPr>
      </w:pPr>
    </w:p>
    <w:p w:rsidR="00144B75" w:rsidRPr="007E2D2E" w:rsidRDefault="007E2D2E" w:rsidP="00144B75">
      <w:pPr>
        <w:shd w:val="clear" w:color="auto" w:fill="FFFFFF"/>
        <w:spacing w:before="120" w:after="120" w:line="240" w:lineRule="auto"/>
        <w:jc w:val="both"/>
        <w:rPr>
          <w:rFonts w:eastAsia="Times New Roman" w:cstheme="minorHAnsi"/>
          <w:sz w:val="32"/>
          <w:szCs w:val="32"/>
          <w:lang w:eastAsia="it-IT"/>
        </w:rPr>
      </w:pPr>
      <w:r>
        <w:rPr>
          <w:rFonts w:eastAsia="Times New Roman" w:cstheme="minorHAnsi"/>
          <w:b/>
          <w:sz w:val="32"/>
          <w:szCs w:val="32"/>
          <w:lang w:eastAsia="it-IT"/>
        </w:rPr>
        <w:tab/>
      </w:r>
      <w:r w:rsidR="00144B75" w:rsidRPr="007E2D2E">
        <w:rPr>
          <w:rFonts w:eastAsia="Times New Roman" w:cstheme="minorHAnsi"/>
          <w:sz w:val="32"/>
          <w:szCs w:val="32"/>
          <w:lang w:eastAsia="it-IT"/>
        </w:rPr>
        <w:t>Un solo Maestro</w:t>
      </w:r>
      <w:r>
        <w:rPr>
          <w:rFonts w:eastAsia="Times New Roman" w:cstheme="minorHAnsi"/>
          <w:sz w:val="32"/>
          <w:szCs w:val="32"/>
          <w:lang w:eastAsia="it-IT"/>
        </w:rPr>
        <w:t>, prodotto dal</w:t>
      </w:r>
      <w:r w:rsidR="00F72CD5">
        <w:rPr>
          <w:rFonts w:eastAsia="Times New Roman" w:cstheme="minorHAnsi"/>
          <w:sz w:val="32"/>
          <w:szCs w:val="32"/>
          <w:lang w:eastAsia="it-IT"/>
        </w:rPr>
        <w:t xml:space="preserve"> </w:t>
      </w:r>
      <w:r w:rsidR="00144B75" w:rsidRPr="007E2D2E">
        <w:rPr>
          <w:rFonts w:eastAsia="Times New Roman" w:cstheme="minorHAnsi"/>
          <w:i/>
          <w:sz w:val="32"/>
          <w:szCs w:val="32"/>
          <w:lang w:eastAsia="it-IT"/>
        </w:rPr>
        <w:t>Gruppo di Dombes</w:t>
      </w:r>
      <w:r w:rsidR="00FD0FE1" w:rsidRPr="007E2D2E">
        <w:rPr>
          <w:rFonts w:eastAsia="Times New Roman" w:cstheme="minorHAnsi"/>
          <w:sz w:val="32"/>
          <w:szCs w:val="32"/>
          <w:lang w:eastAsia="it-IT"/>
        </w:rPr>
        <w:t xml:space="preserve"> nel</w:t>
      </w:r>
      <w:r w:rsidR="00882C57">
        <w:rPr>
          <w:rFonts w:eastAsia="Times New Roman" w:cstheme="minorHAnsi"/>
          <w:sz w:val="32"/>
          <w:szCs w:val="32"/>
          <w:lang w:eastAsia="it-IT"/>
        </w:rPr>
        <w:t xml:space="preserve"> </w:t>
      </w:r>
      <w:r w:rsidR="00FD0FE1" w:rsidRPr="007E2D2E">
        <w:rPr>
          <w:rFonts w:eastAsia="Times New Roman" w:cstheme="minorHAnsi"/>
          <w:sz w:val="32"/>
          <w:szCs w:val="32"/>
          <w:lang w:eastAsia="it-IT"/>
        </w:rPr>
        <w:t>2006,</w:t>
      </w:r>
      <w:r w:rsidR="00144B75" w:rsidRPr="007E2D2E">
        <w:rPr>
          <w:rFonts w:eastAsia="Times New Roman" w:cstheme="minorHAnsi"/>
          <w:sz w:val="32"/>
          <w:szCs w:val="32"/>
          <w:lang w:eastAsia="it-IT"/>
        </w:rPr>
        <w:t xml:space="preserve"> è un Documento sull’autorità dottrina</w:t>
      </w:r>
      <w:r>
        <w:rPr>
          <w:rFonts w:eastAsia="Times New Roman" w:cstheme="minorHAnsi"/>
          <w:sz w:val="32"/>
          <w:szCs w:val="32"/>
          <w:lang w:eastAsia="it-IT"/>
        </w:rPr>
        <w:t>le (Cristo, unico Maestro) e su</w:t>
      </w:r>
      <w:r w:rsidR="00144B75" w:rsidRPr="007E2D2E">
        <w:rPr>
          <w:rFonts w:eastAsia="Times New Roman" w:cstheme="minorHAnsi"/>
          <w:sz w:val="32"/>
          <w:szCs w:val="32"/>
          <w:lang w:eastAsia="it-IT"/>
        </w:rPr>
        <w:t>i suoi fondamenti di riferimento, sulle convinzioni profonde delle Chiese in tempi sempre più “liquidi” e oscillanti. Il documento si propone un fine “terapeutico”:</w:t>
      </w:r>
      <w:r w:rsidR="00F72CD5">
        <w:rPr>
          <w:rFonts w:eastAsia="Times New Roman" w:cstheme="minorHAnsi"/>
          <w:sz w:val="32"/>
          <w:szCs w:val="32"/>
          <w:lang w:eastAsia="it-IT"/>
        </w:rPr>
        <w:t xml:space="preserve"> </w:t>
      </w:r>
      <w:r w:rsidR="00144B75" w:rsidRPr="007E2D2E">
        <w:rPr>
          <w:rFonts w:cstheme="minorHAnsi"/>
          <w:iCs/>
          <w:color w:val="333333"/>
          <w:sz w:val="32"/>
          <w:szCs w:val="32"/>
        </w:rPr>
        <w:t>analizza le tradizioni e le prassi cattolica e protestante per mostrare divergenze e luoghi di consenso e per formulare alcune proposte di conversione, e nota come cattolici e protestanti siano uniti sui fondamenti della fede e sul ruolo dell’autorità dottrinale, ma non sulla prassi nell’esercizio di tale autorità. E ciò rende difficoltoso il riconoscersi come “Chiese sorelle”.</w:t>
      </w:r>
    </w:p>
    <w:p w:rsidR="00144B75" w:rsidRPr="00F05C9B" w:rsidRDefault="00144B75" w:rsidP="00144B75">
      <w:pPr>
        <w:pStyle w:val="Paragrafoelenco"/>
        <w:shd w:val="clear" w:color="auto" w:fill="FFFFFF"/>
        <w:spacing w:before="120" w:after="120" w:line="240" w:lineRule="auto"/>
        <w:jc w:val="both"/>
        <w:rPr>
          <w:rFonts w:eastAsia="Times New Roman" w:cstheme="minorHAnsi"/>
          <w:b/>
          <w:sz w:val="40"/>
          <w:szCs w:val="32"/>
          <w:lang w:eastAsia="it-IT"/>
        </w:rPr>
      </w:pPr>
    </w:p>
    <w:p w:rsidR="00FD0FE1" w:rsidRPr="00382EC6" w:rsidRDefault="001B2166" w:rsidP="001B2166">
      <w:pPr>
        <w:shd w:val="clear" w:color="auto" w:fill="FFFFFF"/>
        <w:spacing w:before="120" w:after="120" w:line="240" w:lineRule="auto"/>
        <w:jc w:val="both"/>
        <w:rPr>
          <w:rFonts w:eastAsia="Times New Roman" w:cstheme="minorHAnsi"/>
          <w:b/>
          <w:sz w:val="32"/>
          <w:szCs w:val="32"/>
          <w:lang w:eastAsia="it-IT"/>
        </w:rPr>
      </w:pPr>
      <w:r w:rsidRPr="00382EC6">
        <w:rPr>
          <w:rFonts w:eastAsia="Times New Roman" w:cstheme="minorHAnsi"/>
          <w:b/>
          <w:sz w:val="32"/>
          <w:szCs w:val="32"/>
          <w:u w:val="single"/>
          <w:lang w:eastAsia="it-IT"/>
        </w:rPr>
        <w:t>Voi dunque pregate così</w:t>
      </w:r>
    </w:p>
    <w:p w:rsidR="00FD0FE1" w:rsidRPr="00382EC6" w:rsidRDefault="00FD0FE1" w:rsidP="00144B75">
      <w:pPr>
        <w:pStyle w:val="Paragrafoelenco"/>
        <w:shd w:val="clear" w:color="auto" w:fill="FFFFFF"/>
        <w:spacing w:before="120" w:after="120" w:line="240" w:lineRule="auto"/>
        <w:jc w:val="both"/>
        <w:rPr>
          <w:rFonts w:eastAsia="Times New Roman" w:cstheme="minorHAnsi"/>
          <w:b/>
          <w:sz w:val="32"/>
          <w:szCs w:val="32"/>
          <w:lang w:eastAsia="it-IT"/>
        </w:rPr>
      </w:pPr>
    </w:p>
    <w:p w:rsidR="00144B75" w:rsidRPr="00F05C9B" w:rsidRDefault="00F05C9B" w:rsidP="00144B75">
      <w:pPr>
        <w:shd w:val="clear" w:color="auto" w:fill="FFFFFF"/>
        <w:spacing w:before="120" w:after="120" w:line="240" w:lineRule="auto"/>
        <w:jc w:val="both"/>
        <w:rPr>
          <w:rFonts w:eastAsia="Times New Roman" w:cstheme="minorHAnsi"/>
          <w:sz w:val="32"/>
          <w:szCs w:val="32"/>
          <w:lang w:eastAsia="it-IT"/>
        </w:rPr>
      </w:pPr>
      <w:r>
        <w:rPr>
          <w:rFonts w:eastAsia="Times New Roman" w:cstheme="minorHAnsi"/>
          <w:b/>
          <w:sz w:val="32"/>
          <w:szCs w:val="32"/>
          <w:lang w:eastAsia="it-IT"/>
        </w:rPr>
        <w:tab/>
      </w:r>
      <w:r w:rsidR="00144B75" w:rsidRPr="00F05C9B">
        <w:rPr>
          <w:rFonts w:eastAsia="Times New Roman" w:cstheme="minorHAnsi"/>
          <w:sz w:val="32"/>
          <w:szCs w:val="32"/>
          <w:lang w:eastAsia="it-IT"/>
        </w:rPr>
        <w:t>Conosciuto anche come “</w:t>
      </w:r>
      <w:r w:rsidR="00144B75" w:rsidRPr="00F05C9B">
        <w:rPr>
          <w:rFonts w:eastAsia="Times New Roman" w:cstheme="minorHAnsi"/>
          <w:i/>
          <w:sz w:val="32"/>
          <w:szCs w:val="32"/>
          <w:lang w:eastAsia="it-IT"/>
        </w:rPr>
        <w:t>documento sul Padre nostro</w:t>
      </w:r>
      <w:r w:rsidR="00144B75" w:rsidRPr="00F05C9B">
        <w:rPr>
          <w:rFonts w:eastAsia="Times New Roman" w:cstheme="minorHAnsi"/>
          <w:sz w:val="32"/>
          <w:szCs w:val="32"/>
          <w:lang w:eastAsia="it-IT"/>
        </w:rPr>
        <w:t>” in questo testo</w:t>
      </w:r>
      <w:r w:rsidR="0078461F" w:rsidRPr="00F05C9B">
        <w:rPr>
          <w:rFonts w:eastAsia="Times New Roman" w:cstheme="minorHAnsi"/>
          <w:sz w:val="32"/>
          <w:szCs w:val="32"/>
          <w:lang w:eastAsia="it-IT"/>
        </w:rPr>
        <w:t xml:space="preserve"> del 2011</w:t>
      </w:r>
      <w:r w:rsidR="00144B75" w:rsidRPr="00F05C9B">
        <w:rPr>
          <w:rFonts w:eastAsia="Times New Roman" w:cstheme="minorHAnsi"/>
          <w:sz w:val="32"/>
          <w:szCs w:val="32"/>
          <w:lang w:eastAsia="it-IT"/>
        </w:rPr>
        <w:t xml:space="preserve"> il </w:t>
      </w:r>
      <w:r w:rsidR="00144B75" w:rsidRPr="00F05C9B">
        <w:rPr>
          <w:rFonts w:eastAsia="Times New Roman" w:cstheme="minorHAnsi"/>
          <w:i/>
          <w:sz w:val="32"/>
          <w:szCs w:val="32"/>
          <w:lang w:eastAsia="it-IT"/>
        </w:rPr>
        <w:t>Gruppo di</w:t>
      </w:r>
      <w:r w:rsidR="00F72CD5">
        <w:rPr>
          <w:rFonts w:eastAsia="Times New Roman" w:cstheme="minorHAnsi"/>
          <w:i/>
          <w:sz w:val="32"/>
          <w:szCs w:val="32"/>
          <w:lang w:eastAsia="it-IT"/>
        </w:rPr>
        <w:t xml:space="preserve"> </w:t>
      </w:r>
      <w:r w:rsidR="00144B75" w:rsidRPr="00F05C9B">
        <w:rPr>
          <w:rFonts w:eastAsia="Times New Roman" w:cstheme="minorHAnsi"/>
          <w:i/>
          <w:sz w:val="32"/>
          <w:szCs w:val="32"/>
          <w:lang w:eastAsia="it-IT"/>
        </w:rPr>
        <w:t>Dombes</w:t>
      </w:r>
      <w:r w:rsidR="00144B75" w:rsidRPr="00F05C9B">
        <w:rPr>
          <w:rFonts w:eastAsia="Times New Roman" w:cstheme="minorHAnsi"/>
          <w:sz w:val="32"/>
          <w:szCs w:val="32"/>
          <w:lang w:eastAsia="it-IT"/>
        </w:rPr>
        <w:t xml:space="preserve"> si interroga su quanto oggi </w:t>
      </w:r>
      <w:r w:rsidR="00F72CD5" w:rsidRPr="00F05C9B">
        <w:rPr>
          <w:rFonts w:eastAsia="Times New Roman" w:cstheme="minorHAnsi"/>
          <w:sz w:val="32"/>
          <w:szCs w:val="32"/>
          <w:lang w:eastAsia="it-IT"/>
        </w:rPr>
        <w:t>, questa preghiera</w:t>
      </w:r>
      <w:r w:rsidR="00F72CD5">
        <w:rPr>
          <w:rFonts w:eastAsia="Times New Roman" w:cstheme="minorHAnsi"/>
          <w:sz w:val="32"/>
          <w:szCs w:val="32"/>
          <w:lang w:eastAsia="it-IT"/>
        </w:rPr>
        <w:t>,</w:t>
      </w:r>
      <w:r w:rsidR="00F72CD5" w:rsidRPr="00F05C9B">
        <w:rPr>
          <w:rFonts w:eastAsia="Times New Roman" w:cstheme="minorHAnsi"/>
          <w:sz w:val="32"/>
          <w:szCs w:val="32"/>
          <w:lang w:eastAsia="it-IT"/>
        </w:rPr>
        <w:t xml:space="preserve"> che indica la comunione fra i membri come elemento indispensabile dell’identità cristiana</w:t>
      </w:r>
      <w:r w:rsidR="00F72CD5">
        <w:rPr>
          <w:rFonts w:cstheme="minorHAnsi"/>
          <w:sz w:val="32"/>
          <w:szCs w:val="32"/>
        </w:rPr>
        <w:t xml:space="preserve">, </w:t>
      </w:r>
      <w:r w:rsidR="00144B75" w:rsidRPr="00F05C9B">
        <w:rPr>
          <w:rFonts w:eastAsia="Times New Roman" w:cstheme="minorHAnsi"/>
          <w:sz w:val="32"/>
          <w:szCs w:val="32"/>
          <w:lang w:eastAsia="it-IT"/>
        </w:rPr>
        <w:t>sia contraddetta dalla vita divisa delle varie Comunità Ecclesiali</w:t>
      </w:r>
      <w:r w:rsidR="00F72CD5">
        <w:rPr>
          <w:rFonts w:eastAsia="Times New Roman" w:cstheme="minorHAnsi"/>
          <w:sz w:val="32"/>
          <w:szCs w:val="32"/>
          <w:lang w:eastAsia="it-IT"/>
        </w:rPr>
        <w:t>.</w:t>
      </w:r>
      <w:r w:rsidR="00144B75" w:rsidRPr="00F05C9B">
        <w:rPr>
          <w:rFonts w:cstheme="minorHAnsi"/>
          <w:sz w:val="32"/>
          <w:szCs w:val="32"/>
        </w:rPr>
        <w:t xml:space="preserve"> Il</w:t>
      </w:r>
      <w:r w:rsidR="00144B75" w:rsidRPr="00F05C9B">
        <w:rPr>
          <w:rFonts w:cstheme="minorHAnsi"/>
          <w:iCs/>
          <w:color w:val="333333"/>
          <w:sz w:val="32"/>
          <w:szCs w:val="32"/>
        </w:rPr>
        <w:t xml:space="preserve"> Gruppo ecumenico prospetta i passi che </w:t>
      </w:r>
      <w:r w:rsidR="0078461F" w:rsidRPr="00F05C9B">
        <w:rPr>
          <w:rFonts w:cstheme="minorHAnsi"/>
          <w:iCs/>
          <w:color w:val="333333"/>
          <w:sz w:val="32"/>
          <w:szCs w:val="32"/>
        </w:rPr>
        <w:t xml:space="preserve">sarebbero </w:t>
      </w:r>
      <w:r w:rsidR="00144B75" w:rsidRPr="00F05C9B">
        <w:rPr>
          <w:rFonts w:cstheme="minorHAnsi"/>
          <w:iCs/>
          <w:color w:val="333333"/>
          <w:sz w:val="32"/>
          <w:szCs w:val="32"/>
        </w:rPr>
        <w:t>necessari alle confessioni cristiane per realizzare l’invito alla conversione e alla riconciliazione contenuto nella preghiera del Padre nostro: mettere il sigillo sui risultati raggiunti, con nuove dichiarazioni ufficiali impegnative e con gesti concreti che traducano la recezione comunitaria e istituzionale delle acquisizioni ecumeniche.</w:t>
      </w:r>
    </w:p>
    <w:p w:rsidR="0078461F" w:rsidRPr="00382EC6" w:rsidRDefault="0078461F" w:rsidP="0078461F">
      <w:pPr>
        <w:rPr>
          <w:rFonts w:eastAsia="Times New Roman" w:cstheme="minorHAnsi"/>
          <w:b/>
          <w:sz w:val="32"/>
          <w:szCs w:val="32"/>
          <w:lang w:eastAsia="it-IT"/>
        </w:rPr>
      </w:pPr>
      <w:r w:rsidRPr="00382EC6">
        <w:rPr>
          <w:rFonts w:eastAsia="Times New Roman" w:cstheme="minorHAnsi"/>
          <w:b/>
          <w:sz w:val="32"/>
          <w:szCs w:val="32"/>
          <w:u w:val="single"/>
          <w:lang w:eastAsia="it-IT"/>
        </w:rPr>
        <w:lastRenderedPageBreak/>
        <w:t>Verso una visione comune di chiesa</w:t>
      </w:r>
    </w:p>
    <w:p w:rsidR="0078461F" w:rsidRPr="00382EC6" w:rsidRDefault="0078461F" w:rsidP="00144B75">
      <w:pPr>
        <w:pStyle w:val="Paragrafoelenco"/>
        <w:rPr>
          <w:rFonts w:eastAsia="Times New Roman" w:cstheme="minorHAnsi"/>
          <w:b/>
          <w:sz w:val="32"/>
          <w:szCs w:val="32"/>
          <w:lang w:eastAsia="it-IT"/>
        </w:rPr>
      </w:pPr>
    </w:p>
    <w:p w:rsidR="00144B75" w:rsidRPr="00F05C9B" w:rsidRDefault="00144B75" w:rsidP="0078461F">
      <w:pPr>
        <w:shd w:val="clear" w:color="auto" w:fill="FFFFFF"/>
        <w:spacing w:before="120" w:after="120" w:line="240" w:lineRule="auto"/>
        <w:ind w:firstLine="708"/>
        <w:jc w:val="both"/>
        <w:rPr>
          <w:rFonts w:eastAsia="Times New Roman" w:cstheme="minorHAnsi"/>
          <w:sz w:val="32"/>
          <w:szCs w:val="32"/>
          <w:lang w:eastAsia="it-IT"/>
        </w:rPr>
      </w:pPr>
      <w:r w:rsidRPr="00F05C9B">
        <w:rPr>
          <w:rFonts w:eastAsia="Times New Roman" w:cstheme="minorHAnsi"/>
          <w:iCs/>
          <w:sz w:val="32"/>
          <w:szCs w:val="32"/>
          <w:lang w:eastAsia="it-IT"/>
        </w:rPr>
        <w:t>Trent’anni dopo il «</w:t>
      </w:r>
      <w:r w:rsidRPr="00540FB8">
        <w:rPr>
          <w:rFonts w:eastAsia="Times New Roman" w:cstheme="minorHAnsi"/>
          <w:i/>
          <w:iCs/>
          <w:sz w:val="32"/>
          <w:szCs w:val="32"/>
          <w:lang w:eastAsia="it-IT"/>
        </w:rPr>
        <w:t>Documento di Lima</w:t>
      </w:r>
      <w:r w:rsidRPr="00F05C9B">
        <w:rPr>
          <w:rFonts w:eastAsia="Times New Roman" w:cstheme="minorHAnsi"/>
          <w:iCs/>
          <w:sz w:val="32"/>
          <w:szCs w:val="32"/>
          <w:lang w:eastAsia="it-IT"/>
        </w:rPr>
        <w:t xml:space="preserve">» su </w:t>
      </w:r>
      <w:r w:rsidRPr="00540FB8">
        <w:rPr>
          <w:rFonts w:eastAsia="Times New Roman" w:cstheme="minorHAnsi"/>
          <w:i/>
          <w:iCs/>
          <w:sz w:val="32"/>
          <w:szCs w:val="32"/>
          <w:lang w:eastAsia="it-IT"/>
        </w:rPr>
        <w:t>Battesimo, eucaristia, ministero</w:t>
      </w:r>
      <w:r w:rsidRPr="00F05C9B">
        <w:rPr>
          <w:rFonts w:eastAsia="Times New Roman" w:cstheme="minorHAnsi"/>
          <w:iCs/>
          <w:sz w:val="32"/>
          <w:szCs w:val="32"/>
          <w:lang w:eastAsia="it-IT"/>
        </w:rPr>
        <w:t xml:space="preserve"> (1982), Fede e Costituzione, la commissione teologica del Consiglio Ecumenico delle Chiese</w:t>
      </w:r>
      <w:r w:rsidR="0078461F" w:rsidRPr="00F05C9B">
        <w:rPr>
          <w:rFonts w:eastAsia="Times New Roman" w:cstheme="minorHAnsi"/>
          <w:iCs/>
          <w:sz w:val="32"/>
          <w:szCs w:val="32"/>
          <w:lang w:eastAsia="it-IT"/>
        </w:rPr>
        <w:t xml:space="preserve"> (di cui fa parte anche una rappresentanza cattolica)</w:t>
      </w:r>
      <w:r w:rsidRPr="00F05C9B">
        <w:rPr>
          <w:rFonts w:eastAsia="Times New Roman" w:cstheme="minorHAnsi"/>
          <w:iCs/>
          <w:sz w:val="32"/>
          <w:szCs w:val="32"/>
          <w:lang w:eastAsia="it-IT"/>
        </w:rPr>
        <w:t>, pubblica il suo secondo testo di convergenza, questa volta sull’ecclesiologia. S’intitola "</w:t>
      </w:r>
      <w:r w:rsidRPr="00F05C9B">
        <w:rPr>
          <w:rFonts w:eastAsia="Times New Roman" w:cstheme="minorHAnsi"/>
          <w:i/>
          <w:iCs/>
          <w:sz w:val="32"/>
          <w:szCs w:val="32"/>
          <w:lang w:eastAsia="it-IT"/>
        </w:rPr>
        <w:t>La Chiesa: verso una visione comune</w:t>
      </w:r>
      <w:r w:rsidR="00540FB8">
        <w:rPr>
          <w:rFonts w:eastAsia="Times New Roman" w:cstheme="minorHAnsi"/>
          <w:iCs/>
          <w:sz w:val="32"/>
          <w:szCs w:val="32"/>
          <w:lang w:eastAsia="it-IT"/>
        </w:rPr>
        <w:t>"</w:t>
      </w:r>
      <w:r w:rsidRPr="00F05C9B">
        <w:rPr>
          <w:rFonts w:eastAsia="Times New Roman" w:cstheme="minorHAnsi"/>
          <w:iCs/>
          <w:sz w:val="32"/>
          <w:szCs w:val="32"/>
          <w:lang w:eastAsia="it-IT"/>
        </w:rPr>
        <w:t xml:space="preserve"> ed è stato presentato il 7 marzo 2013 a Ginevra, dopo essere stato approvato il 21 giugno 2012 a Penang (Malaysia). Il documento di convergenza costituisce il punto d’arrivo di un processo di confronto ecumenico, che è iniziato nel 1989 e ha prodotto i due testi su "La natura e lo scopo della Chiesa" (1998) e "La natura e la missione della Chiesa" (2005); ma allo stesso tempo innesca ora un ulteriore processo di confronto, nel quale le Chiese misureranno il loro livello di convergenza sul tema rispondendo agli spunti offerti dal testo, come avvenne per "</w:t>
      </w:r>
      <w:r w:rsidRPr="00540FB8">
        <w:rPr>
          <w:rFonts w:eastAsia="Times New Roman" w:cstheme="minorHAnsi"/>
          <w:i/>
          <w:iCs/>
          <w:sz w:val="32"/>
          <w:szCs w:val="32"/>
          <w:lang w:eastAsia="it-IT"/>
        </w:rPr>
        <w:t>Battesimo, eucaristia e ministero</w:t>
      </w:r>
      <w:r w:rsidRPr="00F05C9B">
        <w:rPr>
          <w:rFonts w:eastAsia="Times New Roman" w:cstheme="minorHAnsi"/>
          <w:iCs/>
          <w:sz w:val="32"/>
          <w:szCs w:val="32"/>
          <w:lang w:eastAsia="it-IT"/>
        </w:rPr>
        <w:t>".</w:t>
      </w:r>
    </w:p>
    <w:p w:rsidR="00144B75" w:rsidRPr="00FF7547" w:rsidRDefault="00144B75" w:rsidP="0078461F">
      <w:pPr>
        <w:spacing w:after="0"/>
        <w:ind w:firstLine="708"/>
        <w:jc w:val="both"/>
        <w:rPr>
          <w:rFonts w:cstheme="minorHAnsi"/>
          <w:sz w:val="32"/>
          <w:szCs w:val="32"/>
        </w:rPr>
      </w:pPr>
      <w:r w:rsidRPr="00FF7547">
        <w:rPr>
          <w:rFonts w:cstheme="minorHAnsi"/>
          <w:sz w:val="32"/>
          <w:szCs w:val="32"/>
        </w:rPr>
        <w:t xml:space="preserve">Il testo è redatto con lo </w:t>
      </w:r>
      <w:r w:rsidRPr="00FF7547">
        <w:rPr>
          <w:rFonts w:cstheme="minorHAnsi"/>
          <w:sz w:val="32"/>
          <w:szCs w:val="32"/>
          <w:u w:val="single"/>
        </w:rPr>
        <w:t>stesso stile del BEM</w:t>
      </w:r>
      <w:r w:rsidRPr="00FF7547">
        <w:rPr>
          <w:rFonts w:cstheme="minorHAnsi"/>
          <w:sz w:val="32"/>
          <w:szCs w:val="32"/>
        </w:rPr>
        <w:t xml:space="preserve"> ed è costituito da una breve </w:t>
      </w:r>
      <w:r w:rsidRPr="00FF7547">
        <w:rPr>
          <w:rFonts w:cstheme="minorHAnsi"/>
          <w:i/>
          <w:iCs/>
          <w:sz w:val="32"/>
          <w:szCs w:val="32"/>
        </w:rPr>
        <w:t>prefazione</w:t>
      </w:r>
      <w:r w:rsidRPr="00FF7547">
        <w:rPr>
          <w:rFonts w:cstheme="minorHAnsi"/>
          <w:sz w:val="32"/>
          <w:szCs w:val="32"/>
        </w:rPr>
        <w:t xml:space="preserve"> firmata dal</w:t>
      </w:r>
      <w:r w:rsidR="00540FB8">
        <w:rPr>
          <w:rFonts w:cstheme="minorHAnsi"/>
          <w:sz w:val="32"/>
          <w:szCs w:val="32"/>
        </w:rPr>
        <w:t>l’allora Segretario G</w:t>
      </w:r>
      <w:r w:rsidRPr="00FF7547">
        <w:rPr>
          <w:rFonts w:cstheme="minorHAnsi"/>
          <w:sz w:val="32"/>
          <w:szCs w:val="32"/>
        </w:rPr>
        <w:t>enerale del Consiglio Ecumenico delle Chiese, Olav</w:t>
      </w:r>
      <w:r w:rsidR="008F0BC8">
        <w:rPr>
          <w:rFonts w:cstheme="minorHAnsi"/>
          <w:sz w:val="32"/>
          <w:szCs w:val="32"/>
        </w:rPr>
        <w:t xml:space="preserve"> </w:t>
      </w:r>
      <w:r w:rsidRPr="00FF7547">
        <w:rPr>
          <w:rFonts w:cstheme="minorHAnsi"/>
          <w:sz w:val="32"/>
          <w:szCs w:val="32"/>
        </w:rPr>
        <w:t>Fykse</w:t>
      </w:r>
      <w:r w:rsidR="008F0BC8">
        <w:rPr>
          <w:rFonts w:cstheme="minorHAnsi"/>
          <w:sz w:val="32"/>
          <w:szCs w:val="32"/>
        </w:rPr>
        <w:t xml:space="preserve"> </w:t>
      </w:r>
      <w:r w:rsidRPr="00FF7547">
        <w:rPr>
          <w:rFonts w:cstheme="minorHAnsi"/>
          <w:sz w:val="32"/>
          <w:szCs w:val="32"/>
        </w:rPr>
        <w:t>Tveit</w:t>
      </w:r>
      <w:r w:rsidR="00E70C89" w:rsidRPr="00FF7547">
        <w:rPr>
          <w:rFonts w:cstheme="minorHAnsi"/>
          <w:sz w:val="32"/>
          <w:szCs w:val="32"/>
        </w:rPr>
        <w:t>,</w:t>
      </w:r>
      <w:r w:rsidRPr="00FF7547">
        <w:rPr>
          <w:rFonts w:cstheme="minorHAnsi"/>
          <w:sz w:val="32"/>
          <w:szCs w:val="32"/>
        </w:rPr>
        <w:t xml:space="preserve"> e da una </w:t>
      </w:r>
      <w:r w:rsidRPr="00FF7547">
        <w:rPr>
          <w:rFonts w:cstheme="minorHAnsi"/>
          <w:i/>
          <w:iCs/>
          <w:sz w:val="32"/>
          <w:szCs w:val="32"/>
        </w:rPr>
        <w:t>premessa.</w:t>
      </w:r>
      <w:r w:rsidRPr="00FF7547">
        <w:rPr>
          <w:rFonts w:cstheme="minorHAnsi"/>
          <w:sz w:val="32"/>
          <w:szCs w:val="32"/>
        </w:rPr>
        <w:t xml:space="preserve"> Segue il </w:t>
      </w:r>
      <w:r w:rsidRPr="00FF7547">
        <w:rPr>
          <w:rFonts w:cstheme="minorHAnsi"/>
          <w:i/>
          <w:iCs/>
          <w:sz w:val="32"/>
          <w:szCs w:val="32"/>
        </w:rPr>
        <w:t>Documento</w:t>
      </w:r>
      <w:r w:rsidRPr="00FF7547">
        <w:rPr>
          <w:rFonts w:cstheme="minorHAnsi"/>
          <w:sz w:val="32"/>
          <w:szCs w:val="32"/>
        </w:rPr>
        <w:t xml:space="preserve"> vero e proprio, con una </w:t>
      </w:r>
      <w:r w:rsidRPr="00FF7547">
        <w:rPr>
          <w:rFonts w:cstheme="minorHAnsi"/>
          <w:i/>
          <w:iCs/>
          <w:sz w:val="32"/>
          <w:szCs w:val="32"/>
        </w:rPr>
        <w:t>introduzione</w:t>
      </w:r>
      <w:r w:rsidRPr="00FF7547">
        <w:rPr>
          <w:rFonts w:cstheme="minorHAnsi"/>
          <w:sz w:val="32"/>
          <w:szCs w:val="32"/>
        </w:rPr>
        <w:t xml:space="preserve"> e </w:t>
      </w:r>
      <w:r w:rsidRPr="00FF7547">
        <w:rPr>
          <w:rFonts w:cstheme="minorHAnsi"/>
          <w:i/>
          <w:iCs/>
          <w:sz w:val="32"/>
          <w:szCs w:val="32"/>
        </w:rPr>
        <w:t xml:space="preserve">quattro </w:t>
      </w:r>
      <w:r w:rsidRPr="00FF7547">
        <w:rPr>
          <w:rFonts w:cstheme="minorHAnsi"/>
          <w:sz w:val="32"/>
          <w:szCs w:val="32"/>
        </w:rPr>
        <w:t xml:space="preserve">lunghi </w:t>
      </w:r>
      <w:r w:rsidRPr="00FF7547">
        <w:rPr>
          <w:rFonts w:cstheme="minorHAnsi"/>
          <w:i/>
          <w:iCs/>
          <w:sz w:val="32"/>
          <w:szCs w:val="32"/>
        </w:rPr>
        <w:t>capitoli</w:t>
      </w:r>
      <w:r w:rsidRPr="00FF7547">
        <w:rPr>
          <w:rFonts w:cstheme="minorHAnsi"/>
          <w:sz w:val="32"/>
          <w:szCs w:val="32"/>
        </w:rPr>
        <w:t xml:space="preserve">, una </w:t>
      </w:r>
      <w:r w:rsidRPr="00FF7547">
        <w:rPr>
          <w:rFonts w:cstheme="minorHAnsi"/>
          <w:i/>
          <w:iCs/>
          <w:sz w:val="32"/>
          <w:szCs w:val="32"/>
        </w:rPr>
        <w:t>conclusione</w:t>
      </w:r>
      <w:r w:rsidRPr="00FF7547">
        <w:rPr>
          <w:rFonts w:cstheme="minorHAnsi"/>
          <w:sz w:val="32"/>
          <w:szCs w:val="32"/>
        </w:rPr>
        <w:t xml:space="preserve"> e una </w:t>
      </w:r>
      <w:r w:rsidRPr="00FF7547">
        <w:rPr>
          <w:rFonts w:cstheme="minorHAnsi"/>
          <w:i/>
          <w:iCs/>
          <w:sz w:val="32"/>
          <w:szCs w:val="32"/>
        </w:rPr>
        <w:t>nota storica</w:t>
      </w:r>
      <w:r w:rsidRPr="00FF7547">
        <w:rPr>
          <w:rFonts w:cstheme="minorHAnsi"/>
          <w:sz w:val="32"/>
          <w:szCs w:val="32"/>
        </w:rPr>
        <w:t xml:space="preserve"> finale sul processo che ha condotto alla realizzazione di questo documento. </w:t>
      </w:r>
    </w:p>
    <w:p w:rsidR="006A18AB" w:rsidRPr="00FF7547" w:rsidRDefault="00144B75" w:rsidP="00144B75">
      <w:pPr>
        <w:spacing w:after="0"/>
        <w:jc w:val="both"/>
        <w:rPr>
          <w:rFonts w:cstheme="minorHAnsi"/>
          <w:sz w:val="32"/>
          <w:szCs w:val="32"/>
        </w:rPr>
      </w:pPr>
      <w:r w:rsidRPr="00FF7547">
        <w:rPr>
          <w:rFonts w:cstheme="minorHAnsi"/>
          <w:sz w:val="32"/>
          <w:szCs w:val="32"/>
        </w:rPr>
        <w:t xml:space="preserve">I quattro capitoli sono già di per sé una presentazione del valore del documento: </w:t>
      </w:r>
    </w:p>
    <w:p w:rsidR="006A18AB" w:rsidRPr="00FF7547" w:rsidRDefault="006A18AB" w:rsidP="00144B75">
      <w:pPr>
        <w:spacing w:after="0"/>
        <w:jc w:val="both"/>
        <w:rPr>
          <w:rFonts w:cstheme="minorHAnsi"/>
          <w:sz w:val="32"/>
          <w:szCs w:val="32"/>
        </w:rPr>
      </w:pPr>
      <w:r w:rsidRPr="00FF7547">
        <w:rPr>
          <w:rFonts w:cstheme="minorHAnsi"/>
          <w:sz w:val="32"/>
          <w:szCs w:val="32"/>
        </w:rPr>
        <w:t xml:space="preserve">1) </w:t>
      </w:r>
      <w:r w:rsidR="00144B75" w:rsidRPr="00FF7547">
        <w:rPr>
          <w:rFonts w:cstheme="minorHAnsi"/>
          <w:sz w:val="32"/>
          <w:szCs w:val="32"/>
        </w:rPr>
        <w:t xml:space="preserve">La missione di Dio e l’unità della Chiesa;  </w:t>
      </w:r>
    </w:p>
    <w:p w:rsidR="006A18AB" w:rsidRPr="00FF7547" w:rsidRDefault="006A18AB" w:rsidP="00144B75">
      <w:pPr>
        <w:spacing w:after="0"/>
        <w:jc w:val="both"/>
        <w:rPr>
          <w:rFonts w:cstheme="minorHAnsi"/>
          <w:sz w:val="32"/>
          <w:szCs w:val="32"/>
        </w:rPr>
      </w:pPr>
      <w:r w:rsidRPr="00FF7547">
        <w:rPr>
          <w:rFonts w:cstheme="minorHAnsi"/>
          <w:sz w:val="32"/>
          <w:szCs w:val="32"/>
        </w:rPr>
        <w:t xml:space="preserve">2) </w:t>
      </w:r>
      <w:r w:rsidR="00144B75" w:rsidRPr="00FF7547">
        <w:rPr>
          <w:rFonts w:cstheme="minorHAnsi"/>
          <w:sz w:val="32"/>
          <w:szCs w:val="32"/>
        </w:rPr>
        <w:t xml:space="preserve">La Chiesa del Dio uno e trino; </w:t>
      </w:r>
    </w:p>
    <w:p w:rsidR="006A18AB" w:rsidRPr="00FF7547" w:rsidRDefault="006A18AB" w:rsidP="00144B75">
      <w:pPr>
        <w:spacing w:after="0"/>
        <w:jc w:val="both"/>
        <w:rPr>
          <w:rFonts w:cstheme="minorHAnsi"/>
          <w:sz w:val="32"/>
          <w:szCs w:val="32"/>
        </w:rPr>
      </w:pPr>
      <w:r w:rsidRPr="00FF7547">
        <w:rPr>
          <w:rFonts w:cstheme="minorHAnsi"/>
          <w:sz w:val="32"/>
          <w:szCs w:val="32"/>
        </w:rPr>
        <w:t xml:space="preserve">3) </w:t>
      </w:r>
      <w:r w:rsidR="00144B75" w:rsidRPr="00FF7547">
        <w:rPr>
          <w:rFonts w:cstheme="minorHAnsi"/>
          <w:sz w:val="32"/>
          <w:szCs w:val="32"/>
        </w:rPr>
        <w:t xml:space="preserve">La Chiesa: crescere nella comunione; </w:t>
      </w:r>
    </w:p>
    <w:p w:rsidR="00144B75" w:rsidRPr="00382EC6" w:rsidRDefault="006A18AB" w:rsidP="00144B75">
      <w:pPr>
        <w:spacing w:after="0"/>
        <w:jc w:val="both"/>
        <w:rPr>
          <w:rFonts w:cstheme="minorHAnsi"/>
          <w:b/>
          <w:sz w:val="32"/>
          <w:szCs w:val="32"/>
        </w:rPr>
      </w:pPr>
      <w:r w:rsidRPr="00FF7547">
        <w:rPr>
          <w:rFonts w:cstheme="minorHAnsi"/>
          <w:sz w:val="32"/>
          <w:szCs w:val="32"/>
        </w:rPr>
        <w:t xml:space="preserve">4) </w:t>
      </w:r>
      <w:r w:rsidR="00144B75" w:rsidRPr="00FF7547">
        <w:rPr>
          <w:rFonts w:cstheme="minorHAnsi"/>
          <w:sz w:val="32"/>
          <w:szCs w:val="32"/>
        </w:rPr>
        <w:t>La Chiesa nel mondo e per il mondo.</w:t>
      </w:r>
    </w:p>
    <w:p w:rsidR="006A18AB" w:rsidRDefault="006A18AB" w:rsidP="00144B75">
      <w:pPr>
        <w:spacing w:after="0"/>
        <w:jc w:val="both"/>
        <w:rPr>
          <w:rFonts w:cstheme="minorHAnsi"/>
          <w:b/>
          <w:sz w:val="32"/>
          <w:szCs w:val="32"/>
        </w:rPr>
      </w:pPr>
      <w:r w:rsidRPr="00382EC6">
        <w:rPr>
          <w:rFonts w:cstheme="minorHAnsi"/>
          <w:b/>
          <w:sz w:val="32"/>
          <w:szCs w:val="32"/>
        </w:rPr>
        <w:tab/>
      </w:r>
    </w:p>
    <w:p w:rsidR="00FD0090" w:rsidRDefault="00FD0090" w:rsidP="00144B75">
      <w:pPr>
        <w:spacing w:after="0"/>
        <w:jc w:val="both"/>
        <w:rPr>
          <w:rFonts w:cstheme="minorHAnsi"/>
          <w:b/>
          <w:sz w:val="32"/>
          <w:szCs w:val="32"/>
        </w:rPr>
      </w:pPr>
    </w:p>
    <w:p w:rsidR="00FD0090" w:rsidRDefault="00FD0090" w:rsidP="00144B75">
      <w:pPr>
        <w:spacing w:after="0"/>
        <w:jc w:val="both"/>
        <w:rPr>
          <w:rFonts w:cstheme="minorHAnsi"/>
          <w:b/>
          <w:sz w:val="32"/>
          <w:szCs w:val="32"/>
        </w:rPr>
      </w:pPr>
    </w:p>
    <w:p w:rsidR="00FD0090" w:rsidRDefault="00FD0090" w:rsidP="00144B75">
      <w:pPr>
        <w:spacing w:after="0"/>
        <w:jc w:val="both"/>
        <w:rPr>
          <w:rFonts w:cstheme="minorHAnsi"/>
          <w:b/>
          <w:sz w:val="32"/>
          <w:szCs w:val="32"/>
        </w:rPr>
      </w:pPr>
    </w:p>
    <w:p w:rsidR="00FD0090" w:rsidRPr="00382EC6" w:rsidRDefault="00FD0090" w:rsidP="00144B75">
      <w:pPr>
        <w:spacing w:after="0"/>
        <w:jc w:val="both"/>
        <w:rPr>
          <w:rFonts w:cstheme="minorHAnsi"/>
          <w:b/>
          <w:sz w:val="32"/>
          <w:szCs w:val="32"/>
        </w:rPr>
      </w:pPr>
    </w:p>
    <w:p w:rsidR="006A18AB" w:rsidRPr="00382EC6" w:rsidRDefault="00D7070D" w:rsidP="00144B75">
      <w:pPr>
        <w:spacing w:after="0"/>
        <w:jc w:val="both"/>
        <w:rPr>
          <w:rFonts w:eastAsia="Times New Roman" w:cstheme="minorHAnsi"/>
          <w:b/>
          <w:i/>
          <w:color w:val="101010"/>
          <w:sz w:val="32"/>
          <w:szCs w:val="32"/>
          <w:lang w:eastAsia="it-IT"/>
        </w:rPr>
      </w:pPr>
      <w:r w:rsidRPr="00382EC6">
        <w:rPr>
          <w:rFonts w:cstheme="minorHAnsi"/>
          <w:b/>
          <w:sz w:val="32"/>
          <w:szCs w:val="32"/>
        </w:rPr>
        <w:lastRenderedPageBreak/>
        <w:tab/>
      </w:r>
      <w:r w:rsidRPr="00382EC6">
        <w:rPr>
          <w:rFonts w:eastAsia="Times New Roman" w:cstheme="minorHAnsi"/>
          <w:b/>
          <w:i/>
          <w:color w:val="101010"/>
          <w:sz w:val="32"/>
          <w:szCs w:val="32"/>
          <w:lang w:eastAsia="it-IT"/>
        </w:rPr>
        <w:t>La Risposta cattolica</w:t>
      </w:r>
    </w:p>
    <w:p w:rsidR="00D7070D" w:rsidRPr="00382EC6" w:rsidRDefault="00D7070D" w:rsidP="00144B75">
      <w:pPr>
        <w:spacing w:after="0"/>
        <w:jc w:val="both"/>
        <w:rPr>
          <w:rFonts w:cstheme="minorHAnsi"/>
          <w:b/>
          <w:sz w:val="32"/>
          <w:szCs w:val="32"/>
        </w:rPr>
      </w:pPr>
    </w:p>
    <w:p w:rsidR="00D7070D" w:rsidRPr="00FF7547" w:rsidRDefault="006A18AB" w:rsidP="006A18AB">
      <w:pPr>
        <w:ind w:firstLine="708"/>
        <w:jc w:val="both"/>
        <w:rPr>
          <w:rFonts w:cstheme="minorHAnsi"/>
          <w:sz w:val="32"/>
          <w:szCs w:val="32"/>
        </w:rPr>
      </w:pPr>
      <w:r w:rsidRPr="00FF7547">
        <w:rPr>
          <w:rFonts w:cstheme="minorHAnsi"/>
          <w:sz w:val="32"/>
          <w:szCs w:val="32"/>
        </w:rPr>
        <w:t xml:space="preserve">Ad ottobre2019 </w:t>
      </w:r>
      <w:r w:rsidR="00144B75" w:rsidRPr="00FF7547">
        <w:rPr>
          <w:rFonts w:cstheme="minorHAnsi"/>
          <w:sz w:val="32"/>
          <w:szCs w:val="32"/>
        </w:rPr>
        <w:t xml:space="preserve">la Chiesa Cattolica, tramite il Pontificio Consiglio per la promozione dell’Unità dei Cristiani (PCPUC), </w:t>
      </w:r>
      <w:r w:rsidR="00144B75" w:rsidRPr="00FF7547">
        <w:rPr>
          <w:rFonts w:eastAsia="Times New Roman" w:cstheme="minorHAnsi"/>
          <w:color w:val="101010"/>
          <w:sz w:val="32"/>
          <w:szCs w:val="32"/>
          <w:lang w:eastAsia="it-IT"/>
        </w:rPr>
        <w:t xml:space="preserve">impegnato da subito nella preparazione di una Risposta cattolica ufficiale, </w:t>
      </w:r>
      <w:r w:rsidR="00144B75" w:rsidRPr="00FF7547">
        <w:rPr>
          <w:rFonts w:cstheme="minorHAnsi"/>
          <w:sz w:val="32"/>
          <w:szCs w:val="32"/>
        </w:rPr>
        <w:t>ha reso nota, in ing</w:t>
      </w:r>
      <w:r w:rsidR="00D7070D" w:rsidRPr="00FF7547">
        <w:rPr>
          <w:rFonts w:cstheme="minorHAnsi"/>
          <w:sz w:val="32"/>
          <w:szCs w:val="32"/>
        </w:rPr>
        <w:t>lese, tale risposta.</w:t>
      </w:r>
    </w:p>
    <w:p w:rsidR="00144B75" w:rsidRPr="00FF7547" w:rsidRDefault="00144B75" w:rsidP="006A18AB">
      <w:pPr>
        <w:ind w:firstLine="708"/>
        <w:jc w:val="both"/>
        <w:rPr>
          <w:rFonts w:cstheme="minorHAnsi"/>
          <w:sz w:val="32"/>
          <w:szCs w:val="32"/>
        </w:rPr>
      </w:pPr>
      <w:r w:rsidRPr="00FF7547">
        <w:rPr>
          <w:rFonts w:eastAsia="Times New Roman" w:cstheme="minorHAnsi"/>
          <w:i/>
          <w:color w:val="101010"/>
          <w:sz w:val="32"/>
          <w:szCs w:val="32"/>
          <w:lang w:eastAsia="it-IT"/>
        </w:rPr>
        <w:t>La Risposta</w:t>
      </w:r>
      <w:r w:rsidRPr="00FF7547">
        <w:rPr>
          <w:rFonts w:eastAsia="Times New Roman" w:cstheme="minorHAnsi"/>
          <w:color w:val="101010"/>
          <w:sz w:val="32"/>
          <w:szCs w:val="32"/>
          <w:lang w:eastAsia="it-IT"/>
        </w:rPr>
        <w:t xml:space="preserve"> è un testo ampio che </w:t>
      </w:r>
      <w:r w:rsidRPr="00FF7547">
        <w:rPr>
          <w:rFonts w:cstheme="minorHAnsi"/>
          <w:sz w:val="32"/>
          <w:szCs w:val="32"/>
        </w:rPr>
        <w:t>segue lo stesso schema del documento e</w:t>
      </w:r>
      <w:r w:rsidRPr="00FF7547">
        <w:rPr>
          <w:rFonts w:eastAsia="Times New Roman" w:cstheme="minorHAnsi"/>
          <w:color w:val="101010"/>
          <w:sz w:val="32"/>
          <w:szCs w:val="32"/>
          <w:lang w:eastAsia="it-IT"/>
        </w:rPr>
        <w:t xml:space="preserve"> offre un’analisi completa di ciascuno dei quattro capitoli del </w:t>
      </w:r>
      <w:r w:rsidRPr="00FF7547">
        <w:rPr>
          <w:rFonts w:eastAsia="Times New Roman" w:cstheme="minorHAnsi"/>
          <w:i/>
          <w:color w:val="101010"/>
          <w:sz w:val="32"/>
          <w:szCs w:val="32"/>
          <w:lang w:eastAsia="it-IT"/>
        </w:rPr>
        <w:t>Documento di Penang</w:t>
      </w:r>
      <w:r w:rsidRPr="00FF7547">
        <w:rPr>
          <w:rFonts w:eastAsia="Times New Roman" w:cstheme="minorHAnsi"/>
          <w:color w:val="101010"/>
          <w:sz w:val="32"/>
          <w:szCs w:val="32"/>
          <w:lang w:eastAsia="it-IT"/>
        </w:rPr>
        <w:t xml:space="preserve"> e fornisce risposte alle varie domande poste dalla Commissione</w:t>
      </w:r>
      <w:r w:rsidRPr="00FF7547">
        <w:rPr>
          <w:rFonts w:eastAsia="Times New Roman" w:cstheme="minorHAnsi"/>
          <w:i/>
          <w:color w:val="101010"/>
          <w:sz w:val="32"/>
          <w:szCs w:val="32"/>
          <w:lang w:eastAsia="it-IT"/>
        </w:rPr>
        <w:t xml:space="preserve"> </w:t>
      </w:r>
      <w:r w:rsidRPr="008F0BC8">
        <w:rPr>
          <w:rFonts w:eastAsia="Times New Roman" w:cstheme="minorHAnsi"/>
          <w:color w:val="101010"/>
          <w:sz w:val="32"/>
          <w:szCs w:val="32"/>
          <w:lang w:eastAsia="it-IT"/>
        </w:rPr>
        <w:t>Fede e Costituzione</w:t>
      </w:r>
      <w:r w:rsidRPr="00FF7547">
        <w:rPr>
          <w:rFonts w:eastAsia="Times New Roman" w:cstheme="minorHAnsi"/>
          <w:color w:val="101010"/>
          <w:sz w:val="32"/>
          <w:szCs w:val="32"/>
          <w:lang w:eastAsia="it-IT"/>
        </w:rPr>
        <w:t xml:space="preserve">. </w:t>
      </w:r>
      <w:r w:rsidRPr="00FF7547">
        <w:rPr>
          <w:rFonts w:cstheme="minorHAnsi"/>
          <w:sz w:val="32"/>
          <w:szCs w:val="32"/>
        </w:rPr>
        <w:t>All’inizio si trova una lunga “</w:t>
      </w:r>
      <w:r w:rsidRPr="008F0BC8">
        <w:rPr>
          <w:rFonts w:cstheme="minorHAnsi"/>
          <w:i/>
          <w:sz w:val="32"/>
          <w:szCs w:val="32"/>
        </w:rPr>
        <w:t>valutazione introduttiva</w:t>
      </w:r>
      <w:r w:rsidRPr="00FF7547">
        <w:rPr>
          <w:rFonts w:cstheme="minorHAnsi"/>
          <w:sz w:val="32"/>
          <w:szCs w:val="32"/>
        </w:rPr>
        <w:t xml:space="preserve">” sullo </w:t>
      </w:r>
      <w:r w:rsidRPr="00FF7547">
        <w:rPr>
          <w:rFonts w:cstheme="minorHAnsi"/>
          <w:i/>
          <w:sz w:val="32"/>
          <w:szCs w:val="32"/>
        </w:rPr>
        <w:t>status</w:t>
      </w:r>
      <w:r w:rsidRPr="00FF7547">
        <w:rPr>
          <w:rFonts w:cstheme="minorHAnsi"/>
          <w:sz w:val="32"/>
          <w:szCs w:val="32"/>
        </w:rPr>
        <w:t xml:space="preserve"> e l’importanza del Documento stesso, le sue speranze e obiettivi, gli aspetti generali in armonia con il pensiero cattolico; il tutto visto come risorsa per aiutare la Chiesa </w:t>
      </w:r>
      <w:r w:rsidRPr="00FF7547">
        <w:rPr>
          <w:rFonts w:cstheme="minorHAnsi"/>
          <w:i/>
          <w:sz w:val="32"/>
          <w:szCs w:val="32"/>
        </w:rPr>
        <w:t>in via</w:t>
      </w:r>
      <w:r w:rsidRPr="00FF7547">
        <w:rPr>
          <w:rFonts w:cstheme="minorHAnsi"/>
          <w:sz w:val="32"/>
          <w:szCs w:val="32"/>
        </w:rPr>
        <w:t xml:space="preserve"> a proseguire nel suo cammino verso l’unità. </w:t>
      </w:r>
    </w:p>
    <w:p w:rsidR="00D7070D" w:rsidRPr="00382EC6" w:rsidRDefault="00D7070D" w:rsidP="00D7070D">
      <w:pPr>
        <w:jc w:val="both"/>
        <w:rPr>
          <w:rFonts w:eastAsia="Times New Roman" w:cstheme="minorHAnsi"/>
          <w:b/>
          <w:iCs/>
          <w:sz w:val="32"/>
          <w:szCs w:val="32"/>
          <w:u w:val="single"/>
          <w:lang w:eastAsia="it-IT"/>
        </w:rPr>
      </w:pPr>
    </w:p>
    <w:p w:rsidR="00D7070D" w:rsidRPr="00382EC6" w:rsidRDefault="00D7070D" w:rsidP="00D7070D">
      <w:pPr>
        <w:jc w:val="both"/>
        <w:rPr>
          <w:rFonts w:cstheme="minorHAnsi"/>
          <w:b/>
          <w:sz w:val="32"/>
          <w:szCs w:val="32"/>
        </w:rPr>
      </w:pPr>
      <w:r w:rsidRPr="00382EC6">
        <w:rPr>
          <w:rFonts w:eastAsia="Times New Roman" w:cstheme="minorHAnsi"/>
          <w:b/>
          <w:iCs/>
          <w:sz w:val="32"/>
          <w:szCs w:val="32"/>
          <w:u w:val="single"/>
          <w:lang w:eastAsia="it-IT"/>
        </w:rPr>
        <w:t>Dal conflitto alla comunione</w:t>
      </w:r>
      <w:r w:rsidRPr="00382EC6">
        <w:rPr>
          <w:rFonts w:eastAsia="Times New Roman" w:cstheme="minorHAnsi"/>
          <w:b/>
          <w:sz w:val="32"/>
          <w:szCs w:val="32"/>
          <w:lang w:eastAsia="it-IT"/>
        </w:rPr>
        <w:t> </w:t>
      </w:r>
    </w:p>
    <w:p w:rsidR="00D7070D" w:rsidRPr="00382EC6" w:rsidRDefault="00D7070D" w:rsidP="006A18AB">
      <w:pPr>
        <w:ind w:firstLine="708"/>
        <w:jc w:val="both"/>
        <w:rPr>
          <w:rFonts w:cstheme="minorHAnsi"/>
          <w:b/>
          <w:sz w:val="32"/>
          <w:szCs w:val="32"/>
        </w:rPr>
      </w:pPr>
    </w:p>
    <w:p w:rsidR="00144B75" w:rsidRPr="00FD0090" w:rsidRDefault="003A6386" w:rsidP="00D7070D">
      <w:pPr>
        <w:shd w:val="clear" w:color="auto" w:fill="FFFFFF"/>
        <w:spacing w:before="120" w:after="120" w:line="240" w:lineRule="auto"/>
        <w:ind w:firstLine="708"/>
        <w:jc w:val="both"/>
        <w:rPr>
          <w:rFonts w:eastAsia="Times New Roman" w:cstheme="minorHAnsi"/>
          <w:sz w:val="32"/>
          <w:szCs w:val="32"/>
          <w:lang w:eastAsia="it-IT"/>
        </w:rPr>
      </w:pPr>
      <w:r>
        <w:rPr>
          <w:rFonts w:eastAsia="Times New Roman" w:cstheme="minorHAnsi"/>
          <w:iCs/>
          <w:sz w:val="32"/>
          <w:szCs w:val="32"/>
          <w:lang w:eastAsia="it-IT"/>
        </w:rPr>
        <w:t>“</w:t>
      </w:r>
      <w:r w:rsidR="00144B75" w:rsidRPr="00FD0090">
        <w:rPr>
          <w:rFonts w:eastAsia="Times New Roman" w:cstheme="minorHAnsi"/>
          <w:iCs/>
          <w:sz w:val="32"/>
          <w:szCs w:val="32"/>
          <w:lang w:eastAsia="it-IT"/>
        </w:rPr>
        <w:t>Dal conflitto alla comunione</w:t>
      </w:r>
      <w:r>
        <w:rPr>
          <w:rFonts w:eastAsia="Times New Roman" w:cstheme="minorHAnsi"/>
          <w:iCs/>
          <w:sz w:val="32"/>
          <w:szCs w:val="32"/>
          <w:lang w:eastAsia="it-IT"/>
        </w:rPr>
        <w:t xml:space="preserve">” </w:t>
      </w:r>
      <w:r w:rsidR="00144B75" w:rsidRPr="00FD0090">
        <w:rPr>
          <w:rFonts w:eastAsia="Times New Roman" w:cstheme="minorHAnsi"/>
          <w:sz w:val="32"/>
          <w:szCs w:val="32"/>
          <w:lang w:eastAsia="it-IT"/>
        </w:rPr>
        <w:t>(Co</w:t>
      </w:r>
      <w:r w:rsidR="00D7070D" w:rsidRPr="00FD0090">
        <w:rPr>
          <w:rFonts w:eastAsia="Times New Roman" w:cstheme="minorHAnsi"/>
          <w:sz w:val="32"/>
          <w:szCs w:val="32"/>
          <w:lang w:eastAsia="it-IT"/>
        </w:rPr>
        <w:t xml:space="preserve">mmissione Luterana – Cattolica, </w:t>
      </w:r>
      <w:r w:rsidR="00144B75" w:rsidRPr="00FD0090">
        <w:rPr>
          <w:rFonts w:eastAsia="Times New Roman" w:cstheme="minorHAnsi"/>
          <w:sz w:val="32"/>
          <w:szCs w:val="32"/>
          <w:lang w:eastAsia="it-IT"/>
        </w:rPr>
        <w:t>2013)</w:t>
      </w:r>
      <w:r w:rsidR="00E70C89" w:rsidRPr="00FD0090">
        <w:rPr>
          <w:rFonts w:eastAsia="Times New Roman" w:cstheme="minorHAnsi"/>
          <w:sz w:val="32"/>
          <w:szCs w:val="32"/>
          <w:lang w:eastAsia="it-IT"/>
        </w:rPr>
        <w:t xml:space="preserve">, un titolo che già dice </w:t>
      </w:r>
      <w:r w:rsidR="00D7070D" w:rsidRPr="00FD0090">
        <w:rPr>
          <w:rFonts w:eastAsia="Times New Roman" w:cstheme="minorHAnsi"/>
          <w:sz w:val="32"/>
          <w:szCs w:val="32"/>
          <w:lang w:eastAsia="it-IT"/>
        </w:rPr>
        <w:t>tutta la ricchezza del contenuto di questo Documento:</w:t>
      </w:r>
      <w:r w:rsidR="00144B75" w:rsidRPr="00FD0090">
        <w:rPr>
          <w:rFonts w:eastAsia="Times New Roman" w:cstheme="minorHAnsi"/>
          <w:sz w:val="32"/>
          <w:szCs w:val="32"/>
          <w:lang w:eastAsia="it-IT"/>
        </w:rPr>
        <w:t xml:space="preserve"> per la prima volta a livello mondiale Luterani e Cattolici hanno lavorato insieme per raccontare la storia della Riforma, in vista delle Celebrazioni per il</w:t>
      </w:r>
      <w:r>
        <w:rPr>
          <w:rFonts w:eastAsia="Times New Roman" w:cstheme="minorHAnsi"/>
          <w:sz w:val="32"/>
          <w:szCs w:val="32"/>
          <w:lang w:eastAsia="it-IT"/>
        </w:rPr>
        <w:t xml:space="preserve"> suo</w:t>
      </w:r>
      <w:r w:rsidR="00144B75" w:rsidRPr="00FD0090">
        <w:rPr>
          <w:rFonts w:eastAsia="Times New Roman" w:cstheme="minorHAnsi"/>
          <w:sz w:val="32"/>
          <w:szCs w:val="32"/>
          <w:lang w:eastAsia="it-IT"/>
        </w:rPr>
        <w:t xml:space="preserve"> quinto centenario.</w:t>
      </w:r>
      <w:r w:rsidR="00D7070D" w:rsidRPr="00FD0090">
        <w:rPr>
          <w:rFonts w:eastAsia="Times New Roman" w:cstheme="minorHAnsi"/>
          <w:sz w:val="32"/>
          <w:szCs w:val="32"/>
          <w:lang w:eastAsia="it-IT"/>
        </w:rPr>
        <w:t xml:space="preserve"> D</w:t>
      </w:r>
      <w:r w:rsidR="00144B75" w:rsidRPr="00FD0090">
        <w:rPr>
          <w:rFonts w:eastAsia="Times New Roman" w:cstheme="minorHAnsi"/>
          <w:sz w:val="32"/>
          <w:szCs w:val="32"/>
          <w:lang w:eastAsia="it-IT"/>
        </w:rPr>
        <w:t>opo secoli di diffidenze e ostilità, Luterani e Cattolici riflettono insieme nella pace su cinque secoli di storia e sull’opportunità di rivisitar</w:t>
      </w:r>
      <w:r w:rsidR="00E70C89" w:rsidRPr="00FD0090">
        <w:rPr>
          <w:rFonts w:eastAsia="Times New Roman" w:cstheme="minorHAnsi"/>
          <w:sz w:val="32"/>
          <w:szCs w:val="32"/>
          <w:lang w:eastAsia="it-IT"/>
        </w:rPr>
        <w:t>e e testimoniare insieme, come C</w:t>
      </w:r>
      <w:r w:rsidR="001D6C4A">
        <w:rPr>
          <w:rFonts w:eastAsia="Times New Roman" w:cstheme="minorHAnsi"/>
          <w:sz w:val="32"/>
          <w:szCs w:val="32"/>
          <w:lang w:eastAsia="it-IT"/>
        </w:rPr>
        <w:t xml:space="preserve">hiese, </w:t>
      </w:r>
      <w:r w:rsidR="00144B75" w:rsidRPr="00FD0090">
        <w:rPr>
          <w:rFonts w:eastAsia="Times New Roman" w:cstheme="minorHAnsi"/>
          <w:sz w:val="32"/>
          <w:szCs w:val="32"/>
          <w:lang w:eastAsia="it-IT"/>
        </w:rPr>
        <w:t>le principali proposizioni teologiche di Lutero alla luce dell’attuale cammino ecumenico.</w:t>
      </w:r>
      <w:r w:rsidR="00D7070D" w:rsidRPr="00FD0090">
        <w:rPr>
          <w:rFonts w:eastAsia="Times New Roman" w:cstheme="minorHAnsi"/>
          <w:sz w:val="32"/>
          <w:szCs w:val="32"/>
          <w:lang w:eastAsia="it-IT"/>
        </w:rPr>
        <w:t xml:space="preserve"> Su questa via si è giunti a celebrare insieme il 31 ottobre 2016 l’apertura del V Centenario con la presenza di Papa Francesco a Lund (Svezia</w:t>
      </w:r>
      <w:r w:rsidR="00276108" w:rsidRPr="00FD0090">
        <w:rPr>
          <w:rFonts w:eastAsia="Times New Roman" w:cstheme="minorHAnsi"/>
          <w:sz w:val="32"/>
          <w:szCs w:val="32"/>
          <w:lang w:eastAsia="it-IT"/>
        </w:rPr>
        <w:t>)</w:t>
      </w:r>
      <w:r w:rsidR="00D7070D" w:rsidRPr="00FD0090">
        <w:rPr>
          <w:rFonts w:eastAsia="Times New Roman" w:cstheme="minorHAnsi"/>
          <w:sz w:val="32"/>
          <w:szCs w:val="32"/>
          <w:lang w:eastAsia="it-IT"/>
        </w:rPr>
        <w:t>, ove è stata fondata la Federazione Luterana Mondiale</w:t>
      </w:r>
      <w:r w:rsidR="00D7070D" w:rsidRPr="00FD0090">
        <w:rPr>
          <w:rStyle w:val="Rimandonotaapidipagina"/>
          <w:rFonts w:eastAsia="Times New Roman" w:cstheme="minorHAnsi"/>
          <w:sz w:val="32"/>
          <w:szCs w:val="32"/>
          <w:lang w:eastAsia="it-IT"/>
        </w:rPr>
        <w:footnoteReference w:id="3"/>
      </w:r>
      <w:r w:rsidR="00D7070D" w:rsidRPr="00FD0090">
        <w:rPr>
          <w:rFonts w:eastAsia="Times New Roman" w:cstheme="minorHAnsi"/>
          <w:sz w:val="32"/>
          <w:szCs w:val="32"/>
          <w:lang w:eastAsia="it-IT"/>
        </w:rPr>
        <w:t>.</w:t>
      </w:r>
    </w:p>
    <w:p w:rsidR="004B12B1" w:rsidRPr="00382EC6" w:rsidRDefault="004B12B1" w:rsidP="00D7070D">
      <w:pPr>
        <w:shd w:val="clear" w:color="auto" w:fill="FFFFFF"/>
        <w:spacing w:before="120" w:after="120" w:line="240" w:lineRule="auto"/>
        <w:ind w:firstLine="708"/>
        <w:jc w:val="both"/>
        <w:rPr>
          <w:rFonts w:eastAsia="Times New Roman" w:cstheme="minorHAnsi"/>
          <w:b/>
          <w:sz w:val="32"/>
          <w:szCs w:val="32"/>
          <w:lang w:eastAsia="it-IT"/>
        </w:rPr>
      </w:pPr>
    </w:p>
    <w:p w:rsidR="004B12B1" w:rsidRPr="00382EC6" w:rsidRDefault="004B12B1" w:rsidP="004B12B1">
      <w:pPr>
        <w:shd w:val="clear" w:color="auto" w:fill="FFFFFF"/>
        <w:spacing w:before="120" w:after="120" w:line="240" w:lineRule="auto"/>
        <w:jc w:val="both"/>
        <w:rPr>
          <w:rFonts w:eastAsia="Times New Roman" w:cstheme="minorHAnsi"/>
          <w:b/>
          <w:sz w:val="32"/>
          <w:szCs w:val="32"/>
          <w:lang w:eastAsia="it-IT"/>
        </w:rPr>
      </w:pPr>
      <w:r w:rsidRPr="00382EC6">
        <w:rPr>
          <w:rFonts w:eastAsia="Times New Roman" w:cstheme="minorHAnsi"/>
          <w:b/>
          <w:sz w:val="32"/>
          <w:szCs w:val="32"/>
          <w:u w:val="single"/>
          <w:lang w:eastAsia="it-IT"/>
        </w:rPr>
        <w:lastRenderedPageBreak/>
        <w:t>Il Documento di Chieti</w:t>
      </w:r>
    </w:p>
    <w:p w:rsidR="00144B75" w:rsidRPr="00382EC6" w:rsidRDefault="00144B75" w:rsidP="00144B75">
      <w:pPr>
        <w:pStyle w:val="Paragrafoelenco"/>
        <w:shd w:val="clear" w:color="auto" w:fill="FFFFFF"/>
        <w:spacing w:before="120" w:after="120" w:line="240" w:lineRule="auto"/>
        <w:jc w:val="both"/>
        <w:rPr>
          <w:rFonts w:eastAsia="Times New Roman" w:cstheme="minorHAnsi"/>
          <w:b/>
          <w:sz w:val="32"/>
          <w:szCs w:val="32"/>
          <w:lang w:eastAsia="it-IT"/>
        </w:rPr>
      </w:pPr>
    </w:p>
    <w:p w:rsidR="00144B75" w:rsidRPr="00FD0090" w:rsidRDefault="00144B75" w:rsidP="004479A1">
      <w:pPr>
        <w:ind w:firstLine="708"/>
        <w:jc w:val="both"/>
        <w:rPr>
          <w:rFonts w:eastAsia="Times New Roman" w:cstheme="minorHAnsi"/>
          <w:bCs/>
          <w:iCs/>
          <w:sz w:val="32"/>
          <w:szCs w:val="32"/>
          <w:shd w:val="clear" w:color="auto" w:fill="FFFFFF"/>
          <w:lang w:eastAsia="it-IT"/>
        </w:rPr>
      </w:pPr>
      <w:r w:rsidRPr="00FD0090">
        <w:rPr>
          <w:rFonts w:eastAsia="Times New Roman" w:cstheme="minorHAnsi"/>
          <w:sz w:val="32"/>
          <w:szCs w:val="32"/>
          <w:lang w:eastAsia="it-IT"/>
        </w:rPr>
        <w:t xml:space="preserve">Il </w:t>
      </w:r>
      <w:r w:rsidRPr="00FD0090">
        <w:rPr>
          <w:rFonts w:eastAsia="Times New Roman" w:cstheme="minorHAnsi"/>
          <w:i/>
          <w:sz w:val="32"/>
          <w:szCs w:val="32"/>
          <w:lang w:eastAsia="it-IT"/>
        </w:rPr>
        <w:t>Documento di Chieti</w:t>
      </w:r>
      <w:r w:rsidR="00C24F24">
        <w:rPr>
          <w:rFonts w:eastAsia="Times New Roman" w:cstheme="minorHAnsi"/>
          <w:i/>
          <w:sz w:val="32"/>
          <w:szCs w:val="32"/>
          <w:lang w:eastAsia="it-IT"/>
        </w:rPr>
        <w:t xml:space="preserve"> </w:t>
      </w:r>
      <w:r w:rsidRPr="00FD0090">
        <w:rPr>
          <w:rFonts w:eastAsia="Times New Roman" w:cstheme="minorHAnsi"/>
          <w:bCs/>
          <w:iCs/>
          <w:color w:val="222222"/>
          <w:sz w:val="32"/>
          <w:szCs w:val="32"/>
          <w:shd w:val="clear" w:color="auto" w:fill="FFFFFF"/>
          <w:lang w:eastAsia="it-IT"/>
        </w:rPr>
        <w:t>è frutto</w:t>
      </w:r>
      <w:r w:rsidR="003C7A01" w:rsidRPr="00FD0090">
        <w:rPr>
          <w:rFonts w:eastAsia="Times New Roman" w:cstheme="minorHAnsi"/>
          <w:bCs/>
          <w:iCs/>
          <w:color w:val="222222"/>
          <w:sz w:val="32"/>
          <w:szCs w:val="32"/>
          <w:shd w:val="clear" w:color="auto" w:fill="FFFFFF"/>
          <w:lang w:eastAsia="it-IT"/>
        </w:rPr>
        <w:t>,</w:t>
      </w:r>
      <w:r w:rsidR="00C24F24">
        <w:rPr>
          <w:rFonts w:eastAsia="Times New Roman" w:cstheme="minorHAnsi"/>
          <w:bCs/>
          <w:iCs/>
          <w:color w:val="222222"/>
          <w:sz w:val="32"/>
          <w:szCs w:val="32"/>
          <w:shd w:val="clear" w:color="auto" w:fill="FFFFFF"/>
          <w:lang w:eastAsia="it-IT"/>
        </w:rPr>
        <w:t xml:space="preserve"> </w:t>
      </w:r>
      <w:r w:rsidR="003C7A01" w:rsidRPr="00FD0090">
        <w:rPr>
          <w:rFonts w:eastAsia="Times New Roman" w:cstheme="minorHAnsi"/>
          <w:bCs/>
          <w:iCs/>
          <w:color w:val="222222"/>
          <w:sz w:val="32"/>
          <w:szCs w:val="32"/>
          <w:shd w:val="clear" w:color="auto" w:fill="FFFFFF"/>
          <w:lang w:eastAsia="it-IT"/>
        </w:rPr>
        <w:t xml:space="preserve">nel settembre 2016, </w:t>
      </w:r>
      <w:r w:rsidRPr="00FD0090">
        <w:rPr>
          <w:rFonts w:eastAsia="Times New Roman" w:cstheme="minorHAnsi"/>
          <w:bCs/>
          <w:iCs/>
          <w:color w:val="222222"/>
          <w:sz w:val="32"/>
          <w:szCs w:val="32"/>
          <w:shd w:val="clear" w:color="auto" w:fill="FFFFFF"/>
          <w:lang w:eastAsia="it-IT"/>
        </w:rPr>
        <w:t xml:space="preserve">del quattordicesimo incontro della Commissione mista internazionale per il dialogo teologico fra la Chiesa cattolica e la Chiesa ortodossa riunitasi </w:t>
      </w:r>
      <w:r w:rsidRPr="00FD0090">
        <w:rPr>
          <w:rFonts w:cstheme="minorHAnsi"/>
          <w:sz w:val="32"/>
          <w:szCs w:val="32"/>
        </w:rPr>
        <w:t xml:space="preserve">per definire un’idea comune sul ruolo del Primato di Pietro nel corso del I millennio, riscoprendone il senso, il valore, la funzione per poter vivere tra fratelli nell’unità. Il titolo esatto di tale documento è </w:t>
      </w:r>
      <w:r w:rsidRPr="00FD0090">
        <w:rPr>
          <w:rFonts w:eastAsia="Times New Roman" w:cstheme="minorHAnsi"/>
          <w:bCs/>
          <w:i/>
          <w:iCs/>
          <w:sz w:val="32"/>
          <w:szCs w:val="32"/>
          <w:shd w:val="clear" w:color="auto" w:fill="FFFFFF"/>
          <w:lang w:eastAsia="it-IT"/>
        </w:rPr>
        <w:t>"Sinodalità e primato nel primo millennio. Verso una comune comprensione nel servizio all’unità della Chiesa</w:t>
      </w:r>
      <w:r w:rsidR="003C7A01" w:rsidRPr="00FD0090">
        <w:rPr>
          <w:rFonts w:eastAsia="Times New Roman" w:cstheme="minorHAnsi"/>
          <w:bCs/>
          <w:iCs/>
          <w:sz w:val="32"/>
          <w:szCs w:val="32"/>
          <w:shd w:val="clear" w:color="auto" w:fill="FFFFFF"/>
          <w:lang w:eastAsia="it-IT"/>
        </w:rPr>
        <w:t>”</w:t>
      </w:r>
      <w:r w:rsidRPr="00FD0090">
        <w:rPr>
          <w:rFonts w:eastAsia="Times New Roman" w:cstheme="minorHAnsi"/>
          <w:bCs/>
          <w:iCs/>
          <w:sz w:val="32"/>
          <w:szCs w:val="32"/>
          <w:shd w:val="clear" w:color="auto" w:fill="FFFFFF"/>
          <w:lang w:eastAsia="it-IT"/>
        </w:rPr>
        <w:t>.</w:t>
      </w:r>
      <w:r w:rsidRPr="00FD0090">
        <w:rPr>
          <w:rFonts w:cstheme="minorHAnsi"/>
          <w:sz w:val="32"/>
          <w:szCs w:val="32"/>
        </w:rPr>
        <w:t xml:space="preserve"> Qualcuno ha commentato che lung</w:t>
      </w:r>
      <w:r w:rsidR="00FD0090">
        <w:rPr>
          <w:rFonts w:cstheme="minorHAnsi"/>
          <w:sz w:val="32"/>
          <w:szCs w:val="32"/>
        </w:rPr>
        <w:t xml:space="preserve">o il I millennio in effetti la </w:t>
      </w:r>
      <w:r w:rsidRPr="00FD0090">
        <w:rPr>
          <w:rFonts w:cstheme="minorHAnsi"/>
          <w:sz w:val="32"/>
          <w:szCs w:val="32"/>
        </w:rPr>
        <w:t>Chiesa era ancora unita: è vero</w:t>
      </w:r>
      <w:r w:rsidR="003A6386">
        <w:rPr>
          <w:rFonts w:cstheme="minorHAnsi"/>
          <w:sz w:val="32"/>
          <w:szCs w:val="32"/>
        </w:rPr>
        <w:t>,</w:t>
      </w:r>
      <w:r w:rsidRPr="00FD0090">
        <w:rPr>
          <w:rFonts w:cstheme="minorHAnsi"/>
          <w:sz w:val="32"/>
          <w:szCs w:val="32"/>
        </w:rPr>
        <w:t xml:space="preserve"> ma è anche vero che le cause che hanno condotto alla scissione del 1054</w:t>
      </w:r>
      <w:r w:rsidR="00E70C89" w:rsidRPr="00FD0090">
        <w:rPr>
          <w:rFonts w:cstheme="minorHAnsi"/>
          <w:sz w:val="32"/>
          <w:szCs w:val="32"/>
        </w:rPr>
        <w:t xml:space="preserve"> avevano radici molto antiche e</w:t>
      </w:r>
      <w:r w:rsidRPr="00FD0090">
        <w:rPr>
          <w:rFonts w:cstheme="minorHAnsi"/>
          <w:sz w:val="32"/>
          <w:szCs w:val="32"/>
        </w:rPr>
        <w:t xml:space="preserve"> profonde, culturali e storiche, germogliate nei secoli precedenti. Pertanto solo nella riscoperta del valore allora dato al primato si possono fondare le basi per un dialogo su tale ruolo nel II e ormai anche nel III millennio.</w:t>
      </w:r>
    </w:p>
    <w:p w:rsidR="003C7A01" w:rsidRPr="00FD0090" w:rsidRDefault="00144B75" w:rsidP="003C7A01">
      <w:pPr>
        <w:shd w:val="clear" w:color="auto" w:fill="FFFFFF"/>
        <w:spacing w:after="320" w:line="240" w:lineRule="auto"/>
        <w:ind w:firstLine="708"/>
        <w:jc w:val="both"/>
        <w:rPr>
          <w:rFonts w:eastAsia="Times New Roman" w:cstheme="minorHAnsi"/>
          <w:sz w:val="32"/>
          <w:szCs w:val="32"/>
          <w:lang w:eastAsia="it-IT"/>
        </w:rPr>
      </w:pPr>
      <w:r w:rsidRPr="00FD0090">
        <w:rPr>
          <w:rFonts w:eastAsia="Times New Roman" w:cstheme="minorHAnsi"/>
          <w:sz w:val="32"/>
          <w:szCs w:val="32"/>
          <w:lang w:eastAsia="it-IT"/>
        </w:rPr>
        <w:t xml:space="preserve">La prima ragione del valore del consenso raggiunto consiste nel fatto stesso di aver approvato e pubblicato un documento comune. Il passo importante fatto a Chieti è stato quello di attestare insieme la necessità e la fondatezza di un’espressione della comunione a livello universale. </w:t>
      </w:r>
    </w:p>
    <w:p w:rsidR="00F45357" w:rsidRPr="00FD0090" w:rsidRDefault="00144B75" w:rsidP="00F45357">
      <w:pPr>
        <w:shd w:val="clear" w:color="auto" w:fill="FFFFFF"/>
        <w:spacing w:after="320" w:line="240" w:lineRule="auto"/>
        <w:ind w:firstLine="708"/>
        <w:jc w:val="both"/>
        <w:rPr>
          <w:rFonts w:eastAsia="Times New Roman" w:cstheme="minorHAnsi"/>
          <w:sz w:val="32"/>
          <w:szCs w:val="32"/>
          <w:lang w:eastAsia="it-IT"/>
        </w:rPr>
      </w:pPr>
      <w:r w:rsidRPr="00FD0090">
        <w:rPr>
          <w:rFonts w:eastAsia="Times New Roman" w:cstheme="minorHAnsi"/>
          <w:sz w:val="32"/>
          <w:szCs w:val="32"/>
          <w:lang w:eastAsia="it-IT"/>
        </w:rPr>
        <w:t>In questo contesto, riaffermando l’importanza della comunione sinodale di tutti i vescovi accomunati dalla successione apostolica, Ortodossi e Cattolici hanno unanimemente confessato il ruolo unico del vescovo di Roma, la Chiesa che presiede nella carità, a cui è stato sempre riconosciuto il primo posto nell’ordine (</w:t>
      </w:r>
      <w:r w:rsidRPr="00FD0090">
        <w:rPr>
          <w:rFonts w:eastAsia="Times New Roman" w:cstheme="minorHAnsi"/>
          <w:i/>
          <w:iCs/>
          <w:sz w:val="32"/>
          <w:szCs w:val="32"/>
          <w:lang w:eastAsia="it-IT"/>
        </w:rPr>
        <w:t>tàxis</w:t>
      </w:r>
      <w:r w:rsidRPr="00FD0090">
        <w:rPr>
          <w:rFonts w:eastAsia="Times New Roman" w:cstheme="minorHAnsi"/>
          <w:sz w:val="32"/>
          <w:szCs w:val="32"/>
          <w:lang w:eastAsia="it-IT"/>
        </w:rPr>
        <w:t xml:space="preserve">) delle sedi patriarcali. </w:t>
      </w:r>
    </w:p>
    <w:p w:rsidR="001D6C4A" w:rsidRDefault="00105461" w:rsidP="001D6C4A">
      <w:pPr>
        <w:pStyle w:val="NormaleWeb"/>
        <w:shd w:val="clear" w:color="auto" w:fill="FFFFFF"/>
        <w:spacing w:line="280" w:lineRule="atLeast"/>
        <w:jc w:val="center"/>
        <w:textAlignment w:val="center"/>
        <w:rPr>
          <w:rStyle w:val="Enfasigrassetto"/>
          <w:rFonts w:asciiTheme="minorHAnsi" w:hAnsiTheme="minorHAnsi" w:cstheme="minorHAnsi"/>
          <w:sz w:val="32"/>
          <w:szCs w:val="32"/>
        </w:rPr>
      </w:pPr>
      <w:r w:rsidRPr="00382EC6">
        <w:rPr>
          <w:rStyle w:val="Enfasigrassetto"/>
          <w:rFonts w:asciiTheme="minorHAnsi" w:hAnsiTheme="minorHAnsi" w:cstheme="minorHAnsi"/>
          <w:sz w:val="32"/>
          <w:szCs w:val="32"/>
        </w:rPr>
        <w:t>****************</w:t>
      </w:r>
    </w:p>
    <w:p w:rsidR="001D6C4A" w:rsidRDefault="001D6C4A">
      <w:pPr>
        <w:rPr>
          <w:rStyle w:val="Enfasigrassetto"/>
          <w:rFonts w:eastAsia="Times New Roman" w:cstheme="minorHAnsi"/>
          <w:sz w:val="32"/>
          <w:szCs w:val="32"/>
          <w:lang w:eastAsia="it-IT"/>
        </w:rPr>
      </w:pPr>
      <w:r>
        <w:rPr>
          <w:rStyle w:val="Enfasigrassetto"/>
          <w:rFonts w:cstheme="minorHAnsi"/>
          <w:sz w:val="32"/>
          <w:szCs w:val="32"/>
        </w:rPr>
        <w:br w:type="page"/>
      </w:r>
    </w:p>
    <w:p w:rsidR="001D6C4A" w:rsidRPr="003A6386" w:rsidRDefault="00F45357" w:rsidP="001D6C4A">
      <w:pPr>
        <w:pStyle w:val="NormaleWeb"/>
        <w:shd w:val="clear" w:color="auto" w:fill="FFFFFF"/>
        <w:spacing w:line="280" w:lineRule="atLeast"/>
        <w:jc w:val="center"/>
        <w:textAlignment w:val="center"/>
        <w:rPr>
          <w:rFonts w:asciiTheme="minorHAnsi" w:hAnsiTheme="minorHAnsi" w:cstheme="minorHAnsi"/>
          <w:b/>
          <w:sz w:val="32"/>
          <w:szCs w:val="32"/>
          <w:u w:val="single"/>
        </w:rPr>
      </w:pPr>
      <w:r w:rsidRPr="00382EC6">
        <w:rPr>
          <w:rStyle w:val="Enfasigrassetto"/>
          <w:rFonts w:asciiTheme="minorHAnsi" w:hAnsiTheme="minorHAnsi" w:cstheme="minorHAnsi"/>
          <w:sz w:val="32"/>
          <w:szCs w:val="32"/>
        </w:rPr>
        <w:lastRenderedPageBreak/>
        <w:t xml:space="preserve">Concordia tra le Chiese Luterane, Riformate ed altre in Europa (Concordia di Leuenberg) – </w:t>
      </w:r>
      <w:r w:rsidRPr="003A6386">
        <w:rPr>
          <w:rStyle w:val="Enfasigrassetto"/>
          <w:rFonts w:asciiTheme="minorHAnsi" w:hAnsiTheme="minorHAnsi" w:cstheme="minorHAnsi"/>
          <w:sz w:val="32"/>
          <w:szCs w:val="32"/>
          <w:u w:val="single"/>
        </w:rPr>
        <w:t>E</w:t>
      </w:r>
      <w:r w:rsidRPr="003A6386">
        <w:rPr>
          <w:rFonts w:asciiTheme="minorHAnsi" w:hAnsiTheme="minorHAnsi" w:cstheme="minorHAnsi"/>
          <w:b/>
          <w:sz w:val="32"/>
          <w:szCs w:val="32"/>
          <w:u w:val="single"/>
        </w:rPr>
        <w:t>stratto</w:t>
      </w:r>
    </w:p>
    <w:p w:rsidR="00105461" w:rsidRPr="003A6386" w:rsidRDefault="00F45357" w:rsidP="003A6386">
      <w:pPr>
        <w:pStyle w:val="NormaleWeb"/>
        <w:shd w:val="clear" w:color="auto" w:fill="FFFFFF"/>
        <w:spacing w:line="280" w:lineRule="atLeast"/>
        <w:jc w:val="both"/>
        <w:textAlignment w:val="center"/>
        <w:rPr>
          <w:rFonts w:asciiTheme="minorHAnsi" w:hAnsiTheme="minorHAnsi" w:cstheme="minorHAnsi"/>
          <w:sz w:val="32"/>
          <w:szCs w:val="32"/>
        </w:rPr>
      </w:pPr>
      <w:r w:rsidRPr="00382EC6">
        <w:rPr>
          <w:rFonts w:asciiTheme="minorHAnsi" w:hAnsiTheme="minorHAnsi" w:cstheme="minorHAnsi"/>
          <w:b/>
          <w:sz w:val="32"/>
          <w:szCs w:val="32"/>
        </w:rPr>
        <w:br/>
      </w:r>
      <w:r w:rsidRPr="00382EC6">
        <w:rPr>
          <w:rStyle w:val="Enfasigrassetto"/>
          <w:rFonts w:asciiTheme="minorHAnsi" w:hAnsiTheme="minorHAnsi" w:cstheme="minorHAnsi"/>
          <w:sz w:val="32"/>
          <w:szCs w:val="32"/>
        </w:rPr>
        <w:t>15</w:t>
      </w:r>
      <w:r w:rsidR="00D76AA6">
        <w:rPr>
          <w:rStyle w:val="Enfasigrassetto"/>
          <w:rFonts w:asciiTheme="minorHAnsi" w:hAnsiTheme="minorHAnsi" w:cstheme="minorHAnsi"/>
          <w:sz w:val="32"/>
          <w:szCs w:val="32"/>
        </w:rPr>
        <w:t xml:space="preserve">. </w:t>
      </w:r>
      <w:r w:rsidRPr="001D6C4A">
        <w:rPr>
          <w:rFonts w:asciiTheme="minorHAnsi" w:hAnsiTheme="minorHAnsi" w:cstheme="minorHAnsi"/>
          <w:sz w:val="32"/>
          <w:szCs w:val="32"/>
        </w:rPr>
        <w:t xml:space="preserve">(Santa Cena). b) Nella santa cena </w:t>
      </w:r>
      <w:r w:rsidRPr="001D6C4A">
        <w:rPr>
          <w:rFonts w:asciiTheme="minorHAnsi" w:hAnsiTheme="minorHAnsi" w:cstheme="minorHAnsi"/>
          <w:sz w:val="32"/>
          <w:szCs w:val="32"/>
          <w:u w:val="single"/>
        </w:rPr>
        <w:t>Gesù Cristo risorto</w:t>
      </w:r>
      <w:r w:rsidRPr="001D6C4A">
        <w:rPr>
          <w:rFonts w:asciiTheme="minorHAnsi" w:hAnsiTheme="minorHAnsi" w:cstheme="minorHAnsi"/>
          <w:sz w:val="32"/>
          <w:szCs w:val="32"/>
        </w:rPr>
        <w:t xml:space="preserve">, attraverso la parola della sua promessa, </w:t>
      </w:r>
      <w:r w:rsidRPr="001D6C4A">
        <w:rPr>
          <w:rFonts w:asciiTheme="minorHAnsi" w:hAnsiTheme="minorHAnsi" w:cstheme="minorHAnsi"/>
          <w:sz w:val="32"/>
          <w:szCs w:val="32"/>
          <w:u w:val="single"/>
        </w:rPr>
        <w:t>si dona nel suo corpo e nel suo sangue dati per tutti con pane e vino.</w:t>
      </w:r>
      <w:r w:rsidRPr="001D6C4A">
        <w:rPr>
          <w:rFonts w:asciiTheme="minorHAnsi" w:hAnsiTheme="minorHAnsi" w:cstheme="minorHAnsi"/>
          <w:sz w:val="32"/>
          <w:szCs w:val="32"/>
        </w:rPr>
        <w:t xml:space="preserve"> Egli ci accorda così il perdono dei peccati e ci libera per una vita nuova nella fede. Egli ci fa nuovamente sperimentare che siamo membri del suo corpo. Egli ci fortifica per il servizio degli uomini.</w:t>
      </w:r>
    </w:p>
    <w:p w:rsidR="001D6C4A" w:rsidRDefault="00F45357" w:rsidP="001D6C4A">
      <w:pPr>
        <w:shd w:val="clear" w:color="auto" w:fill="FFFFFF"/>
        <w:spacing w:after="0" w:line="240" w:lineRule="auto"/>
        <w:jc w:val="both"/>
        <w:textAlignment w:val="center"/>
        <w:rPr>
          <w:rStyle w:val="Enfasigrassetto"/>
          <w:rFonts w:cstheme="minorHAnsi"/>
          <w:sz w:val="32"/>
          <w:szCs w:val="32"/>
        </w:rPr>
      </w:pPr>
      <w:r w:rsidRPr="00382EC6">
        <w:rPr>
          <w:rStyle w:val="Enfasigrassetto"/>
          <w:rFonts w:cstheme="minorHAnsi"/>
          <w:sz w:val="32"/>
          <w:szCs w:val="32"/>
        </w:rPr>
        <w:t xml:space="preserve">16. </w:t>
      </w:r>
      <w:r w:rsidRPr="001D6C4A">
        <w:rPr>
          <w:rFonts w:cstheme="minorHAnsi"/>
          <w:sz w:val="32"/>
          <w:szCs w:val="32"/>
        </w:rPr>
        <w:t>(Significato della Cena). Quando celebriamo la santa cena annunziamo la morte di Cristo mediante la quale Dio ha riconciliato il mondo con sé. Confessiamo la presenza del Signore risorto tra di noi. Nella gioia perché il Signore è venuto a noi, aspettiamo la sua apparizione nella gloria.</w:t>
      </w:r>
    </w:p>
    <w:p w:rsidR="001D6C4A" w:rsidRDefault="001D6C4A" w:rsidP="001D6C4A">
      <w:pPr>
        <w:shd w:val="clear" w:color="auto" w:fill="FFFFFF"/>
        <w:spacing w:after="0" w:line="240" w:lineRule="auto"/>
        <w:jc w:val="both"/>
        <w:textAlignment w:val="center"/>
        <w:rPr>
          <w:rStyle w:val="Enfasigrassetto"/>
          <w:rFonts w:cstheme="minorHAnsi"/>
          <w:sz w:val="32"/>
          <w:szCs w:val="32"/>
        </w:rPr>
      </w:pPr>
    </w:p>
    <w:p w:rsidR="00D76AA6" w:rsidRDefault="00F45357" w:rsidP="00D76AA6">
      <w:pPr>
        <w:shd w:val="clear" w:color="auto" w:fill="FFFFFF"/>
        <w:spacing w:after="0" w:line="240" w:lineRule="auto"/>
        <w:jc w:val="both"/>
        <w:textAlignment w:val="center"/>
        <w:rPr>
          <w:rFonts w:cstheme="minorHAnsi"/>
          <w:sz w:val="32"/>
          <w:szCs w:val="32"/>
        </w:rPr>
      </w:pPr>
      <w:r w:rsidRPr="00382EC6">
        <w:rPr>
          <w:rStyle w:val="Enfasigrassetto"/>
          <w:rFonts w:cstheme="minorHAnsi"/>
          <w:sz w:val="32"/>
          <w:szCs w:val="32"/>
        </w:rPr>
        <w:t>17.</w:t>
      </w:r>
      <w:r w:rsidRPr="00382EC6">
        <w:rPr>
          <w:rFonts w:cstheme="minorHAnsi"/>
          <w:b/>
          <w:sz w:val="32"/>
          <w:szCs w:val="32"/>
        </w:rPr>
        <w:t xml:space="preserve"> (</w:t>
      </w:r>
      <w:r w:rsidRPr="00D76AA6">
        <w:rPr>
          <w:rFonts w:cstheme="minorHAnsi"/>
          <w:sz w:val="32"/>
          <w:szCs w:val="32"/>
        </w:rPr>
        <w:t>Passati disaccordi dottrinali). Le divergenze che dal tempo della Riforma in avanti resero im</w:t>
      </w:r>
      <w:bookmarkStart w:id="0" w:name="_GoBack"/>
      <w:bookmarkEnd w:id="0"/>
      <w:r w:rsidRPr="00D76AA6">
        <w:rPr>
          <w:rFonts w:cstheme="minorHAnsi"/>
          <w:sz w:val="32"/>
          <w:szCs w:val="32"/>
        </w:rPr>
        <w:t>possibile una piena comunione tra le chiese luterane e riformate, e sfociarono in condanne reciproche, riguardavano la dottrina della santa cena, la cristologia e la dottrina della predestinazione. Prendiamo sul serio le decisioni dei Padri, ma oggi possiamo dire insieme quanto</w:t>
      </w:r>
      <w:r w:rsidR="00D76AA6">
        <w:rPr>
          <w:rFonts w:cstheme="minorHAnsi"/>
          <w:sz w:val="32"/>
          <w:szCs w:val="32"/>
        </w:rPr>
        <w:t xml:space="preserve"> segue</w:t>
      </w:r>
    </w:p>
    <w:p w:rsidR="00356F59" w:rsidRDefault="00356F59" w:rsidP="00D76AA6">
      <w:pPr>
        <w:shd w:val="clear" w:color="auto" w:fill="FFFFFF"/>
        <w:spacing w:after="0" w:line="240" w:lineRule="auto"/>
        <w:jc w:val="both"/>
        <w:textAlignment w:val="center"/>
        <w:rPr>
          <w:rStyle w:val="Enfasigrassetto"/>
          <w:rFonts w:cstheme="minorHAnsi"/>
          <w:i/>
          <w:iCs/>
          <w:sz w:val="32"/>
          <w:szCs w:val="32"/>
        </w:rPr>
      </w:pPr>
    </w:p>
    <w:p w:rsidR="00D76AA6" w:rsidRDefault="00F45357" w:rsidP="00D76AA6">
      <w:pPr>
        <w:shd w:val="clear" w:color="auto" w:fill="FFFFFF"/>
        <w:spacing w:after="0" w:line="240" w:lineRule="auto"/>
        <w:jc w:val="both"/>
        <w:textAlignment w:val="center"/>
        <w:rPr>
          <w:rFonts w:cstheme="minorHAnsi"/>
          <w:sz w:val="32"/>
          <w:szCs w:val="32"/>
          <w:u w:val="single"/>
        </w:rPr>
      </w:pPr>
      <w:r w:rsidRPr="00382EC6">
        <w:rPr>
          <w:rStyle w:val="Enfasigrassetto"/>
          <w:rFonts w:cstheme="minorHAnsi"/>
          <w:sz w:val="32"/>
          <w:szCs w:val="32"/>
        </w:rPr>
        <w:t>18</w:t>
      </w:r>
      <w:r w:rsidRPr="00D76AA6">
        <w:rPr>
          <w:rStyle w:val="Enfasigrassetto"/>
          <w:rFonts w:cstheme="minorHAnsi"/>
          <w:sz w:val="32"/>
          <w:szCs w:val="32"/>
        </w:rPr>
        <w:t>.</w:t>
      </w:r>
      <w:r w:rsidRPr="00D76AA6">
        <w:rPr>
          <w:rFonts w:cstheme="minorHAnsi"/>
          <w:sz w:val="32"/>
          <w:szCs w:val="32"/>
        </w:rPr>
        <w:t>(Validità delle due specie</w:t>
      </w:r>
      <w:r w:rsidRPr="00AB0081">
        <w:rPr>
          <w:rFonts w:cstheme="minorHAnsi"/>
          <w:sz w:val="32"/>
          <w:szCs w:val="32"/>
        </w:rPr>
        <w:t>)</w:t>
      </w:r>
      <w:r w:rsidRPr="00382EC6">
        <w:rPr>
          <w:rFonts w:cstheme="minorHAnsi"/>
          <w:b/>
          <w:sz w:val="32"/>
          <w:szCs w:val="32"/>
        </w:rPr>
        <w:t xml:space="preserve">. </w:t>
      </w:r>
      <w:r w:rsidRPr="00D76AA6">
        <w:rPr>
          <w:rFonts w:cstheme="minorHAnsi"/>
          <w:sz w:val="32"/>
          <w:szCs w:val="32"/>
          <w:u w:val="single"/>
        </w:rPr>
        <w:t>Nella santa cena Gesù Cristo risorto si dona nel suo corpo e nel suo sangue dati per tutti, attraverso la parola della sua promessa, con pane e vino</w:t>
      </w:r>
      <w:r w:rsidRPr="00D76AA6">
        <w:rPr>
          <w:rFonts w:cstheme="minorHAnsi"/>
          <w:sz w:val="32"/>
          <w:szCs w:val="32"/>
        </w:rPr>
        <w:t xml:space="preserve">. </w:t>
      </w:r>
      <w:r w:rsidRPr="00D76AA6">
        <w:rPr>
          <w:rFonts w:cstheme="minorHAnsi"/>
          <w:sz w:val="32"/>
          <w:szCs w:val="32"/>
          <w:u w:val="single"/>
        </w:rPr>
        <w:t>Così egli dà se stesso senza riserve a tutti coloro che ricevono il pane e il vino: la fede li riceve per la salvezza, l'incredulità per il giudizio.</w:t>
      </w:r>
    </w:p>
    <w:p w:rsidR="00F45357" w:rsidRPr="00D76AA6" w:rsidRDefault="00F45357" w:rsidP="00D76AA6">
      <w:pPr>
        <w:shd w:val="clear" w:color="auto" w:fill="FFFFFF"/>
        <w:spacing w:after="0" w:line="240" w:lineRule="auto"/>
        <w:jc w:val="both"/>
        <w:textAlignment w:val="center"/>
        <w:rPr>
          <w:rFonts w:cstheme="minorHAnsi"/>
          <w:sz w:val="32"/>
          <w:szCs w:val="32"/>
        </w:rPr>
      </w:pPr>
      <w:r w:rsidRPr="00382EC6">
        <w:rPr>
          <w:rFonts w:cstheme="minorHAnsi"/>
          <w:b/>
          <w:sz w:val="32"/>
          <w:szCs w:val="32"/>
          <w:u w:val="single"/>
        </w:rPr>
        <w:br/>
      </w:r>
      <w:r w:rsidRPr="00382EC6">
        <w:rPr>
          <w:rStyle w:val="Enfasigrassetto"/>
          <w:rFonts w:cstheme="minorHAnsi"/>
          <w:sz w:val="32"/>
          <w:szCs w:val="32"/>
        </w:rPr>
        <w:t>19</w:t>
      </w:r>
      <w:r w:rsidR="00D76AA6">
        <w:rPr>
          <w:rStyle w:val="Enfasigrassetto"/>
          <w:rFonts w:cstheme="minorHAnsi"/>
          <w:sz w:val="32"/>
          <w:szCs w:val="32"/>
        </w:rPr>
        <w:t xml:space="preserve">. </w:t>
      </w:r>
      <w:r w:rsidRPr="00D76AA6">
        <w:rPr>
          <w:rFonts w:cstheme="minorHAnsi"/>
          <w:sz w:val="32"/>
          <w:szCs w:val="32"/>
        </w:rPr>
        <w:t xml:space="preserve">(Validità del convito). </w:t>
      </w:r>
      <w:r w:rsidRPr="00D76AA6">
        <w:rPr>
          <w:rFonts w:cstheme="minorHAnsi"/>
          <w:sz w:val="32"/>
          <w:szCs w:val="32"/>
          <w:u w:val="single"/>
        </w:rPr>
        <w:t>Non possiamo separare la comunione con Gesù Cristo nel suo corpo e nel suo sangue dall'atto di mangiare e bere</w:t>
      </w:r>
      <w:r w:rsidRPr="00D76AA6">
        <w:rPr>
          <w:rFonts w:cstheme="minorHAnsi"/>
          <w:sz w:val="32"/>
          <w:szCs w:val="32"/>
        </w:rPr>
        <w:t>. Un interesse circa il modo in cui Cristo è presente nella santa cena, che prescinda da questo atto, corre il rischio di offuscare il senso della Cena.</w:t>
      </w:r>
    </w:p>
    <w:sectPr w:rsidR="00F45357" w:rsidRPr="00D76AA6" w:rsidSect="004B12B1">
      <w:footerReference w:type="default" r:id="rId1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147" w:rsidRDefault="006E1147" w:rsidP="00144B75">
      <w:pPr>
        <w:spacing w:after="0" w:line="240" w:lineRule="auto"/>
      </w:pPr>
      <w:r>
        <w:separator/>
      </w:r>
    </w:p>
  </w:endnote>
  <w:endnote w:type="continuationSeparator" w:id="1">
    <w:p w:rsidR="006E1147" w:rsidRDefault="006E1147" w:rsidP="00144B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048517"/>
      <w:docPartObj>
        <w:docPartGallery w:val="Page Numbers (Bottom of Page)"/>
        <w:docPartUnique/>
      </w:docPartObj>
    </w:sdtPr>
    <w:sdtContent>
      <w:p w:rsidR="004B12B1" w:rsidRDefault="006B7F27">
        <w:pPr>
          <w:pStyle w:val="Pidipagina"/>
          <w:jc w:val="center"/>
        </w:pPr>
        <w:r>
          <w:rPr>
            <w:noProof/>
          </w:rPr>
          <w:fldChar w:fldCharType="begin"/>
        </w:r>
        <w:r w:rsidR="00EB24D8">
          <w:rPr>
            <w:noProof/>
          </w:rPr>
          <w:instrText xml:space="preserve"> PAGE   \* MERGEFORMAT </w:instrText>
        </w:r>
        <w:r>
          <w:rPr>
            <w:noProof/>
          </w:rPr>
          <w:fldChar w:fldCharType="separate"/>
        </w:r>
        <w:r w:rsidR="003A6386">
          <w:rPr>
            <w:noProof/>
          </w:rPr>
          <w:t>8</w:t>
        </w:r>
        <w:r>
          <w:rPr>
            <w:noProof/>
          </w:rPr>
          <w:fldChar w:fldCharType="end"/>
        </w:r>
      </w:p>
    </w:sdtContent>
  </w:sdt>
  <w:p w:rsidR="004B12B1" w:rsidRDefault="004B12B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147" w:rsidRDefault="006E1147" w:rsidP="00144B75">
      <w:pPr>
        <w:spacing w:after="0" w:line="240" w:lineRule="auto"/>
      </w:pPr>
      <w:r>
        <w:separator/>
      </w:r>
    </w:p>
  </w:footnote>
  <w:footnote w:type="continuationSeparator" w:id="1">
    <w:p w:rsidR="006E1147" w:rsidRDefault="006E1147" w:rsidP="00144B75">
      <w:pPr>
        <w:spacing w:after="0" w:line="240" w:lineRule="auto"/>
      </w:pPr>
      <w:r>
        <w:continuationSeparator/>
      </w:r>
    </w:p>
  </w:footnote>
  <w:footnote w:id="2">
    <w:p w:rsidR="007D24D8" w:rsidRDefault="007D24D8">
      <w:pPr>
        <w:pStyle w:val="Testonotaapidipagina"/>
      </w:pPr>
      <w:r>
        <w:rPr>
          <w:rStyle w:val="Rimandonotaapidipagina"/>
        </w:rPr>
        <w:footnoteRef/>
      </w:r>
      <w:r>
        <w:t xml:space="preserve"> Riportati alla fine di questa Scheda</w:t>
      </w:r>
    </w:p>
  </w:footnote>
  <w:footnote w:id="3">
    <w:p w:rsidR="004B12B1" w:rsidRDefault="004B12B1">
      <w:pPr>
        <w:pStyle w:val="Testonotaapidipagina"/>
      </w:pPr>
      <w:r>
        <w:rPr>
          <w:rStyle w:val="Rimandonotaapidipagina"/>
        </w:rPr>
        <w:footnoteRef/>
      </w:r>
      <w:r>
        <w:t xml:space="preserve"> Cfr IV Scheda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34200"/>
    <w:multiLevelType w:val="multilevel"/>
    <w:tmpl w:val="5EA2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144B75"/>
    <w:rsid w:val="00022429"/>
    <w:rsid w:val="0003626C"/>
    <w:rsid w:val="00051C5E"/>
    <w:rsid w:val="000558F7"/>
    <w:rsid w:val="00091367"/>
    <w:rsid w:val="00105461"/>
    <w:rsid w:val="00141C8C"/>
    <w:rsid w:val="00144B75"/>
    <w:rsid w:val="00170E89"/>
    <w:rsid w:val="00174687"/>
    <w:rsid w:val="001B2166"/>
    <w:rsid w:val="001D6C4A"/>
    <w:rsid w:val="00254724"/>
    <w:rsid w:val="00276108"/>
    <w:rsid w:val="002F2853"/>
    <w:rsid w:val="00346E0B"/>
    <w:rsid w:val="00356F59"/>
    <w:rsid w:val="00382EC6"/>
    <w:rsid w:val="003939F7"/>
    <w:rsid w:val="003A6386"/>
    <w:rsid w:val="003B4E23"/>
    <w:rsid w:val="003C7A01"/>
    <w:rsid w:val="004479A1"/>
    <w:rsid w:val="004B12B1"/>
    <w:rsid w:val="004F2561"/>
    <w:rsid w:val="004F7A33"/>
    <w:rsid w:val="00521F2D"/>
    <w:rsid w:val="00540FB8"/>
    <w:rsid w:val="0056374B"/>
    <w:rsid w:val="00615C69"/>
    <w:rsid w:val="006173BB"/>
    <w:rsid w:val="00667D0B"/>
    <w:rsid w:val="006739A7"/>
    <w:rsid w:val="006A18AB"/>
    <w:rsid w:val="006B7F27"/>
    <w:rsid w:val="006E1147"/>
    <w:rsid w:val="006F3021"/>
    <w:rsid w:val="0078461F"/>
    <w:rsid w:val="007A0C77"/>
    <w:rsid w:val="007D24D8"/>
    <w:rsid w:val="007E2D2E"/>
    <w:rsid w:val="00831493"/>
    <w:rsid w:val="00882C57"/>
    <w:rsid w:val="008878FD"/>
    <w:rsid w:val="008B18AC"/>
    <w:rsid w:val="008F0BC8"/>
    <w:rsid w:val="00AB0081"/>
    <w:rsid w:val="00C04ED4"/>
    <w:rsid w:val="00C05FFC"/>
    <w:rsid w:val="00C10824"/>
    <w:rsid w:val="00C24F24"/>
    <w:rsid w:val="00D12241"/>
    <w:rsid w:val="00D53031"/>
    <w:rsid w:val="00D7070D"/>
    <w:rsid w:val="00D76AA6"/>
    <w:rsid w:val="00E70C89"/>
    <w:rsid w:val="00EB24D8"/>
    <w:rsid w:val="00ED310C"/>
    <w:rsid w:val="00F05C9B"/>
    <w:rsid w:val="00F45357"/>
    <w:rsid w:val="00F66C6E"/>
    <w:rsid w:val="00F7273F"/>
    <w:rsid w:val="00F72CD5"/>
    <w:rsid w:val="00F9115C"/>
    <w:rsid w:val="00FA67A6"/>
    <w:rsid w:val="00FD0090"/>
    <w:rsid w:val="00FD0FE1"/>
    <w:rsid w:val="00FE4877"/>
    <w:rsid w:val="00FF754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4B7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144B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4B75"/>
  </w:style>
  <w:style w:type="paragraph" w:styleId="Paragrafoelenco">
    <w:name w:val="List Paragraph"/>
    <w:basedOn w:val="Normale"/>
    <w:uiPriority w:val="34"/>
    <w:qFormat/>
    <w:rsid w:val="00144B75"/>
    <w:pPr>
      <w:ind w:left="720"/>
      <w:contextualSpacing/>
    </w:pPr>
  </w:style>
  <w:style w:type="character" w:styleId="Collegamentoipertestuale">
    <w:name w:val="Hyperlink"/>
    <w:basedOn w:val="Carpredefinitoparagrafo"/>
    <w:uiPriority w:val="99"/>
    <w:semiHidden/>
    <w:unhideWhenUsed/>
    <w:rsid w:val="00144B75"/>
    <w:rPr>
      <w:color w:val="0000FF"/>
      <w:u w:val="single"/>
    </w:rPr>
  </w:style>
  <w:style w:type="paragraph" w:styleId="Intestazione">
    <w:name w:val="header"/>
    <w:basedOn w:val="Normale"/>
    <w:link w:val="IntestazioneCarattere"/>
    <w:uiPriority w:val="99"/>
    <w:semiHidden/>
    <w:unhideWhenUsed/>
    <w:rsid w:val="00144B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44B75"/>
  </w:style>
  <w:style w:type="paragraph" w:styleId="Testonotaapidipagina">
    <w:name w:val="footnote text"/>
    <w:basedOn w:val="Normale"/>
    <w:link w:val="TestonotaapidipaginaCarattere"/>
    <w:uiPriority w:val="99"/>
    <w:semiHidden/>
    <w:unhideWhenUsed/>
    <w:rsid w:val="00F9115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9115C"/>
    <w:rPr>
      <w:sz w:val="20"/>
      <w:szCs w:val="20"/>
    </w:rPr>
  </w:style>
  <w:style w:type="character" w:styleId="Rimandonotaapidipagina">
    <w:name w:val="footnote reference"/>
    <w:basedOn w:val="Carpredefinitoparagrafo"/>
    <w:uiPriority w:val="99"/>
    <w:semiHidden/>
    <w:unhideWhenUsed/>
    <w:rsid w:val="00F9115C"/>
    <w:rPr>
      <w:vertAlign w:val="superscript"/>
    </w:rPr>
  </w:style>
  <w:style w:type="paragraph" w:styleId="NormaleWeb">
    <w:name w:val="Normal (Web)"/>
    <w:basedOn w:val="Normale"/>
    <w:rsid w:val="00F4535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qFormat/>
    <w:rsid w:val="00F45357"/>
    <w:rPr>
      <w:b/>
      <w:bCs/>
    </w:rPr>
  </w:style>
</w:styles>
</file>

<file path=word/webSettings.xml><?xml version="1.0" encoding="utf-8"?>
<w:webSettings xmlns:r="http://schemas.openxmlformats.org/officeDocument/2006/relationships" xmlns:w="http://schemas.openxmlformats.org/wordprocessingml/2006/main">
  <w:divs>
    <w:div w:id="127632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Concordia_di_Leuenberg" TargetMode="External"/><Relationship Id="rId13" Type="http://schemas.openxmlformats.org/officeDocument/2006/relationships/hyperlink" Target="https://it.cathopedia.org/wiki/Salvez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cathopedia.org/w/index.php?title=Giustificazione&amp;action=edit&amp;redlink=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cathopedia.org/wiki/Carit%C3%A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t.cathopedia.org/wiki/Chiesa_cattolica" TargetMode="External"/><Relationship Id="rId4" Type="http://schemas.openxmlformats.org/officeDocument/2006/relationships/settings" Target="settings.xml"/><Relationship Id="rId9" Type="http://schemas.openxmlformats.org/officeDocument/2006/relationships/hyperlink" Target="https://it.wikipedia.org/wiki/Concordia_di_Leuenberg"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779B9-DFFF-4115-96A0-D3A9619D5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8</Pages>
  <Words>2179</Words>
  <Characters>12422</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37</cp:revision>
  <dcterms:created xsi:type="dcterms:W3CDTF">2020-06-16T13:20:00Z</dcterms:created>
  <dcterms:modified xsi:type="dcterms:W3CDTF">2021-03-26T09:56:00Z</dcterms:modified>
</cp:coreProperties>
</file>